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576CE" w14:textId="77777777" w:rsidR="00950E04" w:rsidRPr="00950E04" w:rsidRDefault="00950E04">
      <w:pPr>
        <w:rPr>
          <w:sz w:val="6"/>
          <w:szCs w:val="6"/>
        </w:rPr>
      </w:pPr>
    </w:p>
    <w:tbl>
      <w:tblPr>
        <w:tblStyle w:val="TableGrid"/>
        <w:tblW w:w="0" w:type="auto"/>
        <w:tblBorders>
          <w:top w:val="dotted" w:sz="4" w:space="0" w:color="1F3864" w:themeColor="accent1" w:themeShade="80"/>
          <w:left w:val="dotted" w:sz="4" w:space="0" w:color="1F3864" w:themeColor="accent1" w:themeShade="80"/>
          <w:bottom w:val="dotted" w:sz="4" w:space="0" w:color="1F3864" w:themeColor="accent1" w:themeShade="80"/>
          <w:right w:val="dotted" w:sz="4" w:space="0" w:color="1F3864" w:themeColor="accent1" w:themeShade="80"/>
          <w:insideH w:val="dotted" w:sz="4" w:space="0" w:color="1F3864" w:themeColor="accent1" w:themeShade="80"/>
          <w:insideV w:val="dotted" w:sz="4" w:space="0" w:color="1F3864" w:themeColor="accent1" w:themeShade="80"/>
        </w:tblBorders>
        <w:tblLook w:val="04A0" w:firstRow="1" w:lastRow="0" w:firstColumn="1" w:lastColumn="0" w:noHBand="0" w:noVBand="1"/>
      </w:tblPr>
      <w:tblGrid>
        <w:gridCol w:w="9854"/>
      </w:tblGrid>
      <w:tr w:rsidR="00950E04" w14:paraId="7EBB1B4C" w14:textId="77777777" w:rsidTr="00950E04">
        <w:tc>
          <w:tcPr>
            <w:tcW w:w="9854" w:type="dxa"/>
          </w:tcPr>
          <w:p w14:paraId="4B49716D" w14:textId="593B7FE5" w:rsidR="00950E04" w:rsidRPr="00593B30" w:rsidRDefault="00950E04" w:rsidP="00950E04">
            <w:pPr>
              <w:rPr>
                <w:rFonts w:ascii="Candara" w:hAnsi="Candara"/>
                <w:b/>
                <w:bCs/>
                <w:color w:val="1F3864" w:themeColor="accent1" w:themeShade="80"/>
                <w:sz w:val="14"/>
                <w:szCs w:val="14"/>
              </w:rPr>
            </w:pPr>
          </w:p>
          <w:p w14:paraId="2D0BAB7D" w14:textId="52CADB3C" w:rsidR="00950E04" w:rsidRPr="00B32571" w:rsidRDefault="00950E04" w:rsidP="00950E04">
            <w:pPr>
              <w:rPr>
                <w:rFonts w:ascii="Candara" w:hAnsi="Candara"/>
                <w:b/>
                <w:bCs/>
                <w:color w:val="1F3864" w:themeColor="accent1" w:themeShade="80"/>
                <w:sz w:val="25"/>
                <w:szCs w:val="25"/>
              </w:rPr>
            </w:pPr>
            <w:r w:rsidRPr="00B32571">
              <w:rPr>
                <w:rFonts w:ascii="Candara" w:hAnsi="Candara"/>
                <w:b/>
                <w:bCs/>
                <w:color w:val="1F3864" w:themeColor="accent1" w:themeShade="80"/>
                <w:sz w:val="25"/>
                <w:szCs w:val="25"/>
              </w:rPr>
              <w:t>EXAMPLE 1: What is your score?</w:t>
            </w:r>
          </w:p>
          <w:p w14:paraId="6E1C3C2A" w14:textId="77777777" w:rsidR="00950E04" w:rsidRPr="00593B30" w:rsidRDefault="00950E04" w:rsidP="00950E04">
            <w:pPr>
              <w:rPr>
                <w:rFonts w:ascii="Candara" w:hAnsi="Candara"/>
                <w:b/>
                <w:bCs/>
                <w:color w:val="1F3864" w:themeColor="accent1" w:themeShade="80"/>
                <w:sz w:val="14"/>
                <w:szCs w:val="14"/>
              </w:rPr>
            </w:pPr>
          </w:p>
          <w:p w14:paraId="1A4DB807" w14:textId="77777777" w:rsidR="00593B30" w:rsidRPr="00593B30" w:rsidRDefault="00593B30" w:rsidP="00593B30">
            <w:pPr>
              <w:rPr>
                <w:rFonts w:ascii="Candara" w:hAnsi="Candara"/>
                <w:color w:val="1F3864" w:themeColor="accent1" w:themeShade="80"/>
                <w:sz w:val="21"/>
                <w:szCs w:val="21"/>
              </w:rPr>
            </w:pPr>
            <w:r w:rsidRPr="00593B30">
              <w:rPr>
                <w:rFonts w:ascii="Candara" w:hAnsi="Candara"/>
                <w:color w:val="1F3864" w:themeColor="accent1" w:themeShade="80"/>
                <w:sz w:val="21"/>
                <w:szCs w:val="21"/>
              </w:rPr>
              <w:t>Project delivery remains consistent with the original vision for newcomer engagement and capacity-building and with the selected priorities for more strategically embedding inclusion and diversity into existing service provision. The value of cross-border collaboration and exchange is clear and well argued.</w:t>
            </w:r>
          </w:p>
          <w:p w14:paraId="329993F9" w14:textId="77777777" w:rsidR="00593B30" w:rsidRPr="00593B30" w:rsidRDefault="00593B30" w:rsidP="00593B30">
            <w:pPr>
              <w:rPr>
                <w:rFonts w:ascii="Candara" w:hAnsi="Candara"/>
                <w:color w:val="1F3864" w:themeColor="accent1" w:themeShade="80"/>
                <w:sz w:val="14"/>
                <w:szCs w:val="14"/>
              </w:rPr>
            </w:pPr>
          </w:p>
          <w:p w14:paraId="48CE9079" w14:textId="77777777" w:rsidR="00593B30" w:rsidRPr="00593B30" w:rsidRDefault="00593B30" w:rsidP="00593B30">
            <w:pPr>
              <w:rPr>
                <w:rFonts w:ascii="Candara" w:hAnsi="Candara"/>
                <w:color w:val="1F3864" w:themeColor="accent1" w:themeShade="80"/>
                <w:sz w:val="21"/>
                <w:szCs w:val="21"/>
              </w:rPr>
            </w:pPr>
            <w:r w:rsidRPr="00593B30">
              <w:rPr>
                <w:rFonts w:ascii="Candara" w:hAnsi="Candara"/>
                <w:color w:val="1F3864" w:themeColor="accent1" w:themeShade="80"/>
                <w:sz w:val="21"/>
                <w:szCs w:val="21"/>
              </w:rPr>
              <w:t>Whilst onsite visits and exchanges took place, activities centred mainly on the second project period due to changes in personnel in the applicant institution. Delayed delivery did not impact on the overall purpose and number of targeted exchanges, however, and there is clear value for the applicant institution in learning from the more-developed inclusion and diversity practices of the Spanish partner. Inclusion featured strongly as a common topic for the proposed meetings and exchanges. Digital tools were appropriately used to support physical exchanges. Limited insight is given into green travel practices.</w:t>
            </w:r>
          </w:p>
          <w:p w14:paraId="378943B4" w14:textId="77777777" w:rsidR="00593B30" w:rsidRPr="00593B30" w:rsidRDefault="00593B30" w:rsidP="00593B30">
            <w:pPr>
              <w:rPr>
                <w:rFonts w:ascii="Candara" w:hAnsi="Candara"/>
                <w:color w:val="1F3864" w:themeColor="accent1" w:themeShade="80"/>
                <w:sz w:val="14"/>
                <w:szCs w:val="14"/>
              </w:rPr>
            </w:pPr>
          </w:p>
          <w:p w14:paraId="540540AF" w14:textId="77777777" w:rsidR="00950E04" w:rsidRDefault="00593B30" w:rsidP="00593B30">
            <w:pPr>
              <w:rPr>
                <w:rFonts w:ascii="Candara" w:hAnsi="Candara"/>
                <w:color w:val="1F3864" w:themeColor="accent1" w:themeShade="80"/>
                <w:sz w:val="21"/>
                <w:szCs w:val="21"/>
              </w:rPr>
            </w:pPr>
            <w:r w:rsidRPr="00593B30">
              <w:rPr>
                <w:rFonts w:ascii="Candara" w:hAnsi="Candara"/>
                <w:color w:val="1F3864" w:themeColor="accent1" w:themeShade="80"/>
                <w:sz w:val="21"/>
                <w:szCs w:val="21"/>
              </w:rPr>
              <w:t>The planned exchange and capacity-building actions were successfully delivered relying on import and export roles among the participating institutions, with roles mostly consistent with original planning for this small-scale partnership. Management practices were sufficient for a project of this size and scale, including the use of virtual communications platforms.</w:t>
            </w:r>
            <w:r w:rsidRPr="00593B30">
              <w:rPr>
                <w:rFonts w:ascii="Candara" w:hAnsi="Candara"/>
                <w:color w:val="1F3864" w:themeColor="accent1" w:themeShade="80"/>
                <w:sz w:val="21"/>
                <w:szCs w:val="21"/>
              </w:rPr>
              <w:br/>
            </w:r>
            <w:r w:rsidRPr="00593B30">
              <w:rPr>
                <w:rFonts w:ascii="Candara" w:hAnsi="Candara"/>
                <w:color w:val="1F3864" w:themeColor="accent1" w:themeShade="80"/>
                <w:sz w:val="14"/>
                <w:szCs w:val="14"/>
              </w:rPr>
              <w:br/>
            </w:r>
            <w:r w:rsidRPr="00593B30">
              <w:rPr>
                <w:rFonts w:ascii="Candara" w:hAnsi="Candara"/>
                <w:color w:val="1F3864" w:themeColor="accent1" w:themeShade="80"/>
                <w:sz w:val="21"/>
                <w:szCs w:val="21"/>
              </w:rPr>
              <w:t>Evaluation actions are limited to the hosted meetings and events yet appropriate nonetheless, with some valid data secured on the perceived value of capacity-building actions for the participating staff. Promotional efforts appropriately extend to internal and external stakeholder audiences.</w:t>
            </w:r>
          </w:p>
          <w:p w14:paraId="3C46AF2D" w14:textId="27F730C0" w:rsidR="00593B30" w:rsidRPr="00593B30" w:rsidRDefault="00593B30" w:rsidP="00593B30">
            <w:pPr>
              <w:rPr>
                <w:rFonts w:ascii="Candara" w:hAnsi="Candara"/>
                <w:b/>
                <w:bCs/>
                <w:color w:val="1F3864" w:themeColor="accent1" w:themeShade="80"/>
                <w:sz w:val="14"/>
                <w:szCs w:val="14"/>
              </w:rPr>
            </w:pPr>
          </w:p>
        </w:tc>
      </w:tr>
    </w:tbl>
    <w:p w14:paraId="6D750A1B" w14:textId="77777777" w:rsidR="00950E04" w:rsidRPr="00593B30" w:rsidRDefault="00950E04" w:rsidP="00950E04">
      <w:pPr>
        <w:spacing w:after="0" w:line="240" w:lineRule="auto"/>
        <w:rPr>
          <w:rFonts w:ascii="Candara" w:hAnsi="Candara"/>
          <w:b/>
          <w:bCs/>
          <w:color w:val="1F3864" w:themeColor="accent1" w:themeShade="80"/>
          <w:sz w:val="14"/>
          <w:szCs w:val="14"/>
        </w:rPr>
      </w:pPr>
    </w:p>
    <w:tbl>
      <w:tblPr>
        <w:tblStyle w:val="TableGrid"/>
        <w:tblW w:w="0" w:type="auto"/>
        <w:tblBorders>
          <w:top w:val="dotted" w:sz="4" w:space="0" w:color="1F3864" w:themeColor="accent1" w:themeShade="80"/>
          <w:left w:val="dotted" w:sz="4" w:space="0" w:color="1F3864" w:themeColor="accent1" w:themeShade="80"/>
          <w:bottom w:val="dotted" w:sz="4" w:space="0" w:color="1F3864" w:themeColor="accent1" w:themeShade="80"/>
          <w:right w:val="dotted" w:sz="4" w:space="0" w:color="1F3864" w:themeColor="accent1" w:themeShade="80"/>
          <w:insideH w:val="dotted" w:sz="4" w:space="0" w:color="1F3864" w:themeColor="accent1" w:themeShade="80"/>
          <w:insideV w:val="dotted" w:sz="4" w:space="0" w:color="1F3864" w:themeColor="accent1" w:themeShade="80"/>
        </w:tblBorders>
        <w:tblLook w:val="04A0" w:firstRow="1" w:lastRow="0" w:firstColumn="1" w:lastColumn="0" w:noHBand="0" w:noVBand="1"/>
      </w:tblPr>
      <w:tblGrid>
        <w:gridCol w:w="9854"/>
      </w:tblGrid>
      <w:tr w:rsidR="00950E04" w14:paraId="42CF89CC" w14:textId="77777777" w:rsidTr="00950E04">
        <w:tc>
          <w:tcPr>
            <w:tcW w:w="9854" w:type="dxa"/>
          </w:tcPr>
          <w:p w14:paraId="018D4690" w14:textId="77777777" w:rsidR="00950E04" w:rsidRPr="00593B30" w:rsidRDefault="00950E04" w:rsidP="00950E04">
            <w:pPr>
              <w:rPr>
                <w:rFonts w:ascii="Candara" w:hAnsi="Candara"/>
                <w:b/>
                <w:bCs/>
                <w:color w:val="1F3864" w:themeColor="accent1" w:themeShade="80"/>
                <w:sz w:val="14"/>
                <w:szCs w:val="14"/>
              </w:rPr>
            </w:pPr>
          </w:p>
          <w:p w14:paraId="0A91A70F" w14:textId="450C38C5" w:rsidR="00950E04" w:rsidRPr="00B32571" w:rsidRDefault="00B32571" w:rsidP="00950E04">
            <w:pPr>
              <w:rPr>
                <w:rFonts w:ascii="Candara" w:hAnsi="Candara"/>
                <w:color w:val="1F3864" w:themeColor="accent1" w:themeShade="80"/>
                <w:sz w:val="25"/>
                <w:szCs w:val="25"/>
              </w:rPr>
            </w:pPr>
            <w:r w:rsidRPr="00B32571">
              <w:rPr>
                <w:rFonts w:ascii="Candara" w:hAnsi="Candara"/>
                <w:b/>
                <w:bCs/>
                <w:color w:val="1F3864" w:themeColor="accent1" w:themeShade="80"/>
                <w:sz w:val="25"/>
                <w:szCs w:val="25"/>
              </w:rPr>
              <w:t xml:space="preserve">EXAMPLE </w:t>
            </w:r>
            <w:r w:rsidR="00950E04" w:rsidRPr="00B32571">
              <w:rPr>
                <w:rFonts w:ascii="Candara" w:hAnsi="Candara"/>
                <w:b/>
                <w:bCs/>
                <w:color w:val="1F3864" w:themeColor="accent1" w:themeShade="80"/>
                <w:sz w:val="25"/>
                <w:szCs w:val="25"/>
              </w:rPr>
              <w:t>2: What is your Score?</w:t>
            </w:r>
          </w:p>
          <w:p w14:paraId="042F2625" w14:textId="77777777" w:rsidR="00593B30" w:rsidRPr="00593B30" w:rsidRDefault="00950E04" w:rsidP="00593B30">
            <w:pPr>
              <w:rPr>
                <w:rFonts w:ascii="Candara" w:hAnsi="Candara"/>
                <w:color w:val="1F3864" w:themeColor="accent1" w:themeShade="80"/>
                <w:sz w:val="21"/>
                <w:szCs w:val="21"/>
              </w:rPr>
            </w:pPr>
            <w:r w:rsidRPr="00593B30">
              <w:rPr>
                <w:rFonts w:ascii="Candara" w:hAnsi="Candara"/>
                <w:color w:val="1F3864" w:themeColor="accent1" w:themeShade="80"/>
                <w:sz w:val="14"/>
                <w:szCs w:val="14"/>
              </w:rPr>
              <w:br/>
            </w:r>
            <w:r w:rsidR="00593B30" w:rsidRPr="00593B30">
              <w:rPr>
                <w:rFonts w:ascii="Candara" w:hAnsi="Candara"/>
                <w:color w:val="1F3864" w:themeColor="accent1" w:themeShade="80"/>
                <w:sz w:val="21"/>
                <w:szCs w:val="21"/>
              </w:rPr>
              <w:t>Project delivery remains consistent with the original vision for newcomer engagement and capacity-building and with the selected priorities for strategically embedding inclusion and diversity into existing programme and service provision in the applicant institution. It is clear to see how the exchange of expertise between the two institutions has helped to deliver changes, even in such a short timescale. The value of cross-border collaboration and exchange is clear and well argued.</w:t>
            </w:r>
          </w:p>
          <w:p w14:paraId="1FD701FB" w14:textId="77777777" w:rsidR="00593B30" w:rsidRPr="00593B30" w:rsidRDefault="00593B30" w:rsidP="00593B30">
            <w:pPr>
              <w:rPr>
                <w:rFonts w:ascii="Candara" w:hAnsi="Candara"/>
                <w:color w:val="1F3864" w:themeColor="accent1" w:themeShade="80"/>
                <w:sz w:val="14"/>
                <w:szCs w:val="14"/>
              </w:rPr>
            </w:pPr>
          </w:p>
          <w:p w14:paraId="1673B7ED" w14:textId="77777777" w:rsidR="00593B30" w:rsidRPr="00593B30" w:rsidRDefault="00593B30" w:rsidP="00593B30">
            <w:pPr>
              <w:rPr>
                <w:rFonts w:ascii="Candara" w:hAnsi="Candara"/>
                <w:color w:val="1F3864" w:themeColor="accent1" w:themeShade="80"/>
                <w:sz w:val="21"/>
                <w:szCs w:val="21"/>
              </w:rPr>
            </w:pPr>
            <w:r w:rsidRPr="00593B30">
              <w:rPr>
                <w:rFonts w:ascii="Candara" w:hAnsi="Candara"/>
                <w:color w:val="1F3864" w:themeColor="accent1" w:themeShade="80"/>
                <w:sz w:val="21"/>
                <w:szCs w:val="21"/>
              </w:rPr>
              <w:t>The targeted onsite visits and virtual exchanges each took place as planned, with budget attributions and event-based deliverables each consistent with original forecasts. Inclusion featured strongly as a common topic for the proposed physical and virtual meetings and exchanges. Digital tools were appropriately used, and green travel practices adopted, each appropriate.</w:t>
            </w:r>
          </w:p>
          <w:p w14:paraId="7063CC59" w14:textId="77777777" w:rsidR="00593B30" w:rsidRPr="00593B30" w:rsidRDefault="00593B30" w:rsidP="00593B30">
            <w:pPr>
              <w:rPr>
                <w:rFonts w:ascii="Candara" w:hAnsi="Candara"/>
                <w:color w:val="1F3864" w:themeColor="accent1" w:themeShade="80"/>
                <w:sz w:val="14"/>
                <w:szCs w:val="14"/>
              </w:rPr>
            </w:pPr>
          </w:p>
          <w:p w14:paraId="27207894" w14:textId="77777777" w:rsidR="00950E04" w:rsidRDefault="00593B30" w:rsidP="00593B30">
            <w:pPr>
              <w:rPr>
                <w:rFonts w:ascii="Candara" w:hAnsi="Candara"/>
                <w:color w:val="1F3864" w:themeColor="accent1" w:themeShade="80"/>
                <w:sz w:val="21"/>
                <w:szCs w:val="21"/>
              </w:rPr>
            </w:pPr>
            <w:r w:rsidRPr="00593B30">
              <w:rPr>
                <w:rFonts w:ascii="Candara" w:hAnsi="Candara"/>
                <w:color w:val="1F3864" w:themeColor="accent1" w:themeShade="80"/>
                <w:sz w:val="21"/>
                <w:szCs w:val="21"/>
              </w:rPr>
              <w:t>The planned exchange and capacity-building actions were successfully delivered relying on import and export roles among the participating institutions, with roles and contributions consistent with original planning for this small-scale partnership. Management practices were sufficient for a project of this size and scale and relevant communications mechanisms adopted, including the use of virtual platforms.</w:t>
            </w:r>
            <w:r w:rsidRPr="00593B30">
              <w:rPr>
                <w:rFonts w:ascii="Candara" w:hAnsi="Candara"/>
                <w:color w:val="1F3864" w:themeColor="accent1" w:themeShade="80"/>
                <w:sz w:val="21"/>
                <w:szCs w:val="21"/>
              </w:rPr>
              <w:br/>
            </w:r>
            <w:r w:rsidRPr="00593B30">
              <w:rPr>
                <w:rFonts w:ascii="Candara" w:hAnsi="Candara"/>
                <w:color w:val="1F3864" w:themeColor="accent1" w:themeShade="80"/>
                <w:sz w:val="14"/>
                <w:szCs w:val="14"/>
              </w:rPr>
              <w:br/>
            </w:r>
            <w:r w:rsidRPr="00593B30">
              <w:rPr>
                <w:rFonts w:ascii="Candara" w:hAnsi="Candara"/>
                <w:color w:val="1F3864" w:themeColor="accent1" w:themeShade="80"/>
                <w:sz w:val="21"/>
                <w:szCs w:val="21"/>
              </w:rPr>
              <w:t>Evaluation actions are appropriate and confirm periodic reflection on project and output delivery and the value of participation for partners and staff. Promotional efforts appropriately extend to internal and external stakeholder audiences, including efforts to promote the Erasmus+ experience</w:t>
            </w:r>
            <w:r>
              <w:rPr>
                <w:rFonts w:ascii="Candara" w:hAnsi="Candara"/>
                <w:color w:val="1F3864" w:themeColor="accent1" w:themeShade="80"/>
                <w:sz w:val="21"/>
                <w:szCs w:val="21"/>
              </w:rPr>
              <w:t>.</w:t>
            </w:r>
          </w:p>
          <w:p w14:paraId="69CB9993" w14:textId="783D93D4" w:rsidR="00593B30" w:rsidRPr="00593B30" w:rsidRDefault="00593B30" w:rsidP="00593B30">
            <w:pPr>
              <w:rPr>
                <w:rFonts w:ascii="Candara" w:hAnsi="Candara"/>
                <w:b/>
                <w:bCs/>
                <w:color w:val="1F3864" w:themeColor="accent1" w:themeShade="80"/>
                <w:sz w:val="14"/>
                <w:szCs w:val="14"/>
              </w:rPr>
            </w:pPr>
          </w:p>
        </w:tc>
      </w:tr>
    </w:tbl>
    <w:p w14:paraId="6F586183" w14:textId="25AB43A4" w:rsidR="00950E04" w:rsidRPr="00593B30" w:rsidRDefault="00950E04" w:rsidP="00950E04">
      <w:pPr>
        <w:spacing w:after="0" w:line="240" w:lineRule="auto"/>
        <w:rPr>
          <w:rFonts w:ascii="Candara" w:hAnsi="Candara"/>
          <w:b/>
          <w:bCs/>
          <w:color w:val="1F3864" w:themeColor="accent1" w:themeShade="80"/>
          <w:sz w:val="14"/>
          <w:szCs w:val="14"/>
        </w:rPr>
      </w:pPr>
    </w:p>
    <w:tbl>
      <w:tblPr>
        <w:tblStyle w:val="TableGrid"/>
        <w:tblW w:w="0" w:type="auto"/>
        <w:tblBorders>
          <w:top w:val="dotted" w:sz="4" w:space="0" w:color="1F3864" w:themeColor="accent1" w:themeShade="80"/>
          <w:left w:val="dotted" w:sz="4" w:space="0" w:color="1F3864" w:themeColor="accent1" w:themeShade="80"/>
          <w:bottom w:val="dotted" w:sz="4" w:space="0" w:color="1F3864" w:themeColor="accent1" w:themeShade="80"/>
          <w:right w:val="dotted" w:sz="4" w:space="0" w:color="1F3864" w:themeColor="accent1" w:themeShade="80"/>
          <w:insideH w:val="dotted" w:sz="4" w:space="0" w:color="1F3864" w:themeColor="accent1" w:themeShade="80"/>
          <w:insideV w:val="dotted" w:sz="4" w:space="0" w:color="1F3864" w:themeColor="accent1" w:themeShade="80"/>
        </w:tblBorders>
        <w:tblLook w:val="04A0" w:firstRow="1" w:lastRow="0" w:firstColumn="1" w:lastColumn="0" w:noHBand="0" w:noVBand="1"/>
      </w:tblPr>
      <w:tblGrid>
        <w:gridCol w:w="9854"/>
      </w:tblGrid>
      <w:tr w:rsidR="00B32571" w:rsidRPr="005C7247" w14:paraId="22B4B65C" w14:textId="77777777" w:rsidTr="00EE2A16">
        <w:tc>
          <w:tcPr>
            <w:tcW w:w="9854" w:type="dxa"/>
          </w:tcPr>
          <w:p w14:paraId="2042188E" w14:textId="54DF1376" w:rsidR="00B32571" w:rsidRPr="00B32571" w:rsidRDefault="00593B30" w:rsidP="005903D1">
            <w:pPr>
              <w:pStyle w:val="ListParagraph"/>
              <w:spacing w:before="60" w:after="60"/>
              <w:ind w:left="0"/>
              <w:rPr>
                <w:rFonts w:ascii="Candara" w:hAnsi="Candara"/>
                <w:b/>
                <w:bCs/>
                <w:color w:val="1F3864" w:themeColor="accent1" w:themeShade="80"/>
                <w:sz w:val="25"/>
                <w:szCs w:val="25"/>
              </w:rPr>
            </w:pPr>
            <w:r>
              <w:rPr>
                <w:rFonts w:ascii="Candara" w:hAnsi="Candara"/>
                <w:b/>
                <w:bCs/>
                <w:color w:val="1F3864" w:themeColor="accent1" w:themeShade="80"/>
                <w:sz w:val="25"/>
                <w:szCs w:val="25"/>
              </w:rPr>
              <w:t xml:space="preserve">Scoring Chart </w:t>
            </w:r>
            <w:r w:rsidR="00B32571" w:rsidRPr="00B32571">
              <w:rPr>
                <w:rFonts w:ascii="Candara" w:hAnsi="Candara"/>
                <w:b/>
                <w:bCs/>
                <w:color w:val="1F3864" w:themeColor="accent1" w:themeShade="80"/>
                <w:sz w:val="25"/>
                <w:szCs w:val="25"/>
              </w:rPr>
              <w:t xml:space="preserve">(out of </w:t>
            </w:r>
            <w:r>
              <w:rPr>
                <w:rFonts w:ascii="Candara" w:hAnsi="Candara"/>
                <w:b/>
                <w:bCs/>
                <w:color w:val="1F3864" w:themeColor="accent1" w:themeShade="80"/>
                <w:sz w:val="25"/>
                <w:szCs w:val="25"/>
              </w:rPr>
              <w:t>100</w:t>
            </w:r>
            <w:r w:rsidR="00B32571" w:rsidRPr="00B32571">
              <w:rPr>
                <w:rFonts w:ascii="Candara" w:hAnsi="Candara"/>
                <w:b/>
                <w:bCs/>
                <w:color w:val="1F3864" w:themeColor="accent1" w:themeShade="80"/>
                <w:sz w:val="25"/>
                <w:szCs w:val="25"/>
              </w:rPr>
              <w:t>)</w:t>
            </w:r>
          </w:p>
        </w:tc>
      </w:tr>
      <w:tr w:rsidR="00593B30" w:rsidRPr="005C7247" w14:paraId="152194A6" w14:textId="77777777" w:rsidTr="00C133DB">
        <w:tc>
          <w:tcPr>
            <w:tcW w:w="9854" w:type="dxa"/>
          </w:tcPr>
          <w:p w14:paraId="5723D7FB" w14:textId="57C17AE7" w:rsidR="00593B30" w:rsidRPr="005C7247" w:rsidRDefault="00593B30" w:rsidP="00593B30">
            <w:pPr>
              <w:pStyle w:val="ListParagraph"/>
              <w:numPr>
                <w:ilvl w:val="0"/>
                <w:numId w:val="6"/>
              </w:numPr>
              <w:spacing w:before="60" w:after="60"/>
              <w:rPr>
                <w:rFonts w:ascii="Candara" w:hAnsi="Candara"/>
                <w:color w:val="1F3864" w:themeColor="accent1" w:themeShade="80"/>
                <w:sz w:val="20"/>
                <w:szCs w:val="20"/>
              </w:rPr>
            </w:pPr>
            <w:r>
              <w:rPr>
                <w:rFonts w:ascii="Candara" w:hAnsi="Candara"/>
                <w:color w:val="1F3864" w:themeColor="accent1" w:themeShade="80"/>
                <w:sz w:val="20"/>
                <w:szCs w:val="20"/>
              </w:rPr>
              <w:t>GOOD OR EXCELLENT: 60-100 points</w:t>
            </w:r>
          </w:p>
        </w:tc>
      </w:tr>
      <w:tr w:rsidR="00593B30" w:rsidRPr="005C7247" w14:paraId="104ABCD1" w14:textId="77777777" w:rsidTr="00BB1D43">
        <w:tc>
          <w:tcPr>
            <w:tcW w:w="9854" w:type="dxa"/>
          </w:tcPr>
          <w:p w14:paraId="5A191BC2" w14:textId="4CA7F6A8" w:rsidR="00593B30" w:rsidRPr="005C7247" w:rsidRDefault="00593B30" w:rsidP="00593B30">
            <w:pPr>
              <w:pStyle w:val="ListParagraph"/>
              <w:numPr>
                <w:ilvl w:val="0"/>
                <w:numId w:val="6"/>
              </w:numPr>
              <w:spacing w:before="60" w:after="60"/>
              <w:rPr>
                <w:rFonts w:ascii="Candara" w:hAnsi="Candara"/>
                <w:color w:val="1F3864" w:themeColor="accent1" w:themeShade="80"/>
                <w:sz w:val="20"/>
                <w:szCs w:val="20"/>
              </w:rPr>
            </w:pPr>
            <w:r>
              <w:rPr>
                <w:rFonts w:ascii="Candara" w:hAnsi="Candara"/>
                <w:color w:val="1F3864" w:themeColor="accent1" w:themeShade="80"/>
                <w:sz w:val="20"/>
                <w:szCs w:val="20"/>
              </w:rPr>
              <w:t>BELOW EXPECTATION: 45-59 points</w:t>
            </w:r>
          </w:p>
        </w:tc>
      </w:tr>
      <w:tr w:rsidR="00593B30" w:rsidRPr="005C7247" w14:paraId="78EA5C57" w14:textId="77777777" w:rsidTr="00BB1D43">
        <w:tc>
          <w:tcPr>
            <w:tcW w:w="9854" w:type="dxa"/>
          </w:tcPr>
          <w:p w14:paraId="695EE7AA" w14:textId="2440953B" w:rsidR="00593B30" w:rsidRPr="005C7247" w:rsidRDefault="00593B30" w:rsidP="00593B30">
            <w:pPr>
              <w:pStyle w:val="ListParagraph"/>
              <w:numPr>
                <w:ilvl w:val="0"/>
                <w:numId w:val="6"/>
              </w:numPr>
              <w:spacing w:before="60" w:after="60"/>
              <w:rPr>
                <w:rFonts w:ascii="Candara" w:hAnsi="Candara"/>
                <w:color w:val="1F3864" w:themeColor="accent1" w:themeShade="80"/>
                <w:sz w:val="20"/>
                <w:szCs w:val="20"/>
              </w:rPr>
            </w:pPr>
            <w:r>
              <w:rPr>
                <w:rFonts w:ascii="Candara" w:hAnsi="Candara"/>
                <w:color w:val="1F3864" w:themeColor="accent1" w:themeShade="80"/>
                <w:sz w:val="20"/>
                <w:szCs w:val="20"/>
              </w:rPr>
              <w:t>INADEQUATE: 30-44 points</w:t>
            </w:r>
          </w:p>
        </w:tc>
      </w:tr>
      <w:tr w:rsidR="00593B30" w:rsidRPr="005C7247" w14:paraId="151E3CF6" w14:textId="77777777" w:rsidTr="00BB1D43">
        <w:tc>
          <w:tcPr>
            <w:tcW w:w="9854" w:type="dxa"/>
          </w:tcPr>
          <w:p w14:paraId="6A4FDEAB" w14:textId="17858472" w:rsidR="00593B30" w:rsidRPr="005C7247" w:rsidRDefault="00593B30" w:rsidP="00593B30">
            <w:pPr>
              <w:pStyle w:val="ListParagraph"/>
              <w:numPr>
                <w:ilvl w:val="0"/>
                <w:numId w:val="6"/>
              </w:numPr>
              <w:spacing w:before="60" w:after="60"/>
              <w:rPr>
                <w:rFonts w:ascii="Candara" w:hAnsi="Candara"/>
                <w:color w:val="1F3864" w:themeColor="accent1" w:themeShade="80"/>
                <w:sz w:val="20"/>
                <w:szCs w:val="20"/>
              </w:rPr>
            </w:pPr>
            <w:r>
              <w:rPr>
                <w:rFonts w:ascii="Candara" w:hAnsi="Candara"/>
                <w:color w:val="1F3864" w:themeColor="accent1" w:themeShade="80"/>
                <w:sz w:val="20"/>
                <w:szCs w:val="20"/>
              </w:rPr>
              <w:t>WEAK: 10-29 points</w:t>
            </w:r>
          </w:p>
        </w:tc>
      </w:tr>
      <w:tr w:rsidR="00593B30" w:rsidRPr="005C7247" w14:paraId="24DB49E1" w14:textId="77777777" w:rsidTr="00BB1D43">
        <w:tc>
          <w:tcPr>
            <w:tcW w:w="9854" w:type="dxa"/>
          </w:tcPr>
          <w:p w14:paraId="031056B7" w14:textId="70D96007" w:rsidR="00593B30" w:rsidRPr="005C7247" w:rsidRDefault="00593B30" w:rsidP="00593B30">
            <w:pPr>
              <w:pStyle w:val="ListParagraph"/>
              <w:numPr>
                <w:ilvl w:val="0"/>
                <w:numId w:val="6"/>
              </w:numPr>
              <w:spacing w:before="60" w:after="60"/>
              <w:rPr>
                <w:rFonts w:ascii="Candara" w:hAnsi="Candara"/>
                <w:color w:val="1F3864" w:themeColor="accent1" w:themeShade="80"/>
                <w:sz w:val="20"/>
                <w:szCs w:val="20"/>
              </w:rPr>
            </w:pPr>
            <w:r>
              <w:rPr>
                <w:rFonts w:ascii="Candara" w:hAnsi="Candara"/>
                <w:color w:val="1F3864" w:themeColor="accent1" w:themeShade="80"/>
                <w:sz w:val="20"/>
                <w:szCs w:val="20"/>
              </w:rPr>
              <w:t>NOT DELIVERED: 0-9 points</w:t>
            </w:r>
          </w:p>
        </w:tc>
      </w:tr>
    </w:tbl>
    <w:p w14:paraId="0F8E62A8" w14:textId="77777777" w:rsidR="003B7CC2" w:rsidRPr="005C7247" w:rsidRDefault="003B7CC2" w:rsidP="00B32571">
      <w:pPr>
        <w:spacing w:after="0" w:line="240" w:lineRule="auto"/>
        <w:rPr>
          <w:rFonts w:ascii="Candara" w:hAnsi="Candara"/>
          <w:color w:val="1F3864" w:themeColor="accent1" w:themeShade="80"/>
          <w:sz w:val="18"/>
          <w:szCs w:val="18"/>
        </w:rPr>
      </w:pPr>
    </w:p>
    <w:sectPr w:rsidR="003B7CC2" w:rsidRPr="005C7247" w:rsidSect="00593B30">
      <w:headerReference w:type="default" r:id="rId8"/>
      <w:footerReference w:type="default" r:id="rId9"/>
      <w:pgSz w:w="11906" w:h="16838"/>
      <w:pgMar w:top="1021" w:right="964" w:bottom="102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0AAFC" w14:textId="77777777" w:rsidR="00E03DC9" w:rsidRDefault="00E03DC9" w:rsidP="00A154A1">
      <w:pPr>
        <w:spacing w:after="0" w:line="240" w:lineRule="auto"/>
      </w:pPr>
      <w:r>
        <w:separator/>
      </w:r>
    </w:p>
  </w:endnote>
  <w:endnote w:type="continuationSeparator" w:id="0">
    <w:p w14:paraId="47C50E97" w14:textId="77777777" w:rsidR="00E03DC9" w:rsidRDefault="00E03DC9" w:rsidP="00A15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84C2" w14:textId="7301A50F" w:rsidR="00A154A1" w:rsidRDefault="00C4398C">
    <w:pPr>
      <w:pStyle w:val="Footer"/>
    </w:pPr>
    <w:r w:rsidRPr="00DF4C4F">
      <w:rPr>
        <w:noProof/>
      </w:rPr>
      <w:drawing>
        <wp:anchor distT="0" distB="0" distL="114300" distR="114300" simplePos="0" relativeHeight="251664384" behindDoc="0" locked="0" layoutInCell="1" allowOverlap="1" wp14:anchorId="6BD86D61" wp14:editId="729D9CFE">
          <wp:simplePos x="0" y="0"/>
          <wp:positionH relativeFrom="margin">
            <wp:posOffset>1896053</wp:posOffset>
          </wp:positionH>
          <wp:positionV relativeFrom="paragraph">
            <wp:posOffset>-108585</wp:posOffset>
          </wp:positionV>
          <wp:extent cx="2470244" cy="435926"/>
          <wp:effectExtent l="0" t="0" r="6350" b="2540"/>
          <wp:wrapNone/>
          <wp:docPr id="2" name="Picture 1" descr="A blue text on a white background&#10;&#10;Description automatically generated">
            <a:extLst xmlns:a="http://schemas.openxmlformats.org/drawingml/2006/main">
              <a:ext uri="{FF2B5EF4-FFF2-40B4-BE49-F238E27FC236}">
                <a16:creationId xmlns:a16="http://schemas.microsoft.com/office/drawing/2014/main" id="{DBBBE5A1-3032-3241-8E2A-120B2510B8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text on a white background&#10;&#10;Description automatically generated">
                    <a:extLst>
                      <a:ext uri="{FF2B5EF4-FFF2-40B4-BE49-F238E27FC236}">
                        <a16:creationId xmlns:a16="http://schemas.microsoft.com/office/drawing/2014/main" id="{DBBBE5A1-3032-3241-8E2A-120B2510B83A}"/>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0244" cy="435926"/>
                  </a:xfrm>
                  <a:prstGeom prst="rect">
                    <a:avLst/>
                  </a:prstGeom>
                </pic:spPr>
              </pic:pic>
            </a:graphicData>
          </a:graphic>
          <wp14:sizeRelH relativeFrom="margin">
            <wp14:pctWidth>0</wp14:pctWidth>
          </wp14:sizeRelH>
          <wp14:sizeRelV relativeFrom="margin">
            <wp14:pctHeight>0</wp14:pctHeight>
          </wp14:sizeRelV>
        </wp:anchor>
      </w:drawing>
    </w:r>
    <w:r w:rsidRPr="00A6512F">
      <w:rPr>
        <w:rFonts w:ascii="Candara" w:hAnsi="Candara"/>
        <w:noProof/>
        <w:color w:val="2F5496" w:themeColor="accent1" w:themeShade="BF"/>
        <w:sz w:val="26"/>
        <w:szCs w:val="26"/>
        <w:lang w:val="sl-SI" w:eastAsia="sl-SI"/>
      </w:rPr>
      <w:drawing>
        <wp:anchor distT="0" distB="0" distL="114300" distR="114300" simplePos="0" relativeHeight="251662336" behindDoc="0" locked="0" layoutInCell="1" allowOverlap="1" wp14:anchorId="1C32FFBC" wp14:editId="25990B8A">
          <wp:simplePos x="0" y="0"/>
          <wp:positionH relativeFrom="margin">
            <wp:posOffset>-93336</wp:posOffset>
          </wp:positionH>
          <wp:positionV relativeFrom="paragraph">
            <wp:posOffset>-294214</wp:posOffset>
          </wp:positionV>
          <wp:extent cx="1509395" cy="758190"/>
          <wp:effectExtent l="0" t="0" r="0" b="381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09395" cy="758190"/>
                  </a:xfrm>
                  <a:prstGeom prst="rect">
                    <a:avLst/>
                  </a:prstGeom>
                </pic:spPr>
              </pic:pic>
            </a:graphicData>
          </a:graphic>
          <wp14:sizeRelH relativeFrom="margin">
            <wp14:pctWidth>0</wp14:pctWidth>
          </wp14:sizeRelH>
          <wp14:sizeRelV relativeFrom="margin">
            <wp14:pctHeight>0</wp14:pctHeight>
          </wp14:sizeRelV>
        </wp:anchor>
      </w:drawing>
    </w:r>
    <w:r w:rsidRPr="00DF4C4F">
      <w:rPr>
        <w:noProof/>
      </w:rPr>
      <w:drawing>
        <wp:anchor distT="0" distB="0" distL="114300" distR="114300" simplePos="0" relativeHeight="251666432" behindDoc="0" locked="0" layoutInCell="1" allowOverlap="1" wp14:anchorId="1002A8C7" wp14:editId="35133A39">
          <wp:simplePos x="0" y="0"/>
          <wp:positionH relativeFrom="margin">
            <wp:align>right</wp:align>
          </wp:positionH>
          <wp:positionV relativeFrom="paragraph">
            <wp:posOffset>-225634</wp:posOffset>
          </wp:positionV>
          <wp:extent cx="1849935" cy="670043"/>
          <wp:effectExtent l="0" t="0" r="0" b="0"/>
          <wp:wrapNone/>
          <wp:docPr id="231872945" name="Picture 231872945" descr="A black background with blue text&#10;&#10;Description automatically generated">
            <a:extLst xmlns:a="http://schemas.openxmlformats.org/drawingml/2006/main">
              <a:ext uri="{FF2B5EF4-FFF2-40B4-BE49-F238E27FC236}">
                <a16:creationId xmlns:a16="http://schemas.microsoft.com/office/drawing/2014/main" id="{F0ED7C6E-6DFB-7A40-48ED-A279BE4025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blue text&#10;&#10;Description automatically generated">
                    <a:extLst>
                      <a:ext uri="{FF2B5EF4-FFF2-40B4-BE49-F238E27FC236}">
                        <a16:creationId xmlns:a16="http://schemas.microsoft.com/office/drawing/2014/main" id="{F0ED7C6E-6DFB-7A40-48ED-A279BE402524}"/>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l="42609"/>
                  <a:stretch/>
                </pic:blipFill>
                <pic:spPr bwMode="auto">
                  <a:xfrm>
                    <a:off x="0" y="0"/>
                    <a:ext cx="1849935" cy="6700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91B44" w14:textId="77777777" w:rsidR="00E03DC9" w:rsidRDefault="00E03DC9" w:rsidP="00A154A1">
      <w:pPr>
        <w:spacing w:after="0" w:line="240" w:lineRule="auto"/>
      </w:pPr>
      <w:r>
        <w:separator/>
      </w:r>
    </w:p>
  </w:footnote>
  <w:footnote w:type="continuationSeparator" w:id="0">
    <w:p w14:paraId="0FAF136E" w14:textId="77777777" w:rsidR="00E03DC9" w:rsidRDefault="00E03DC9" w:rsidP="00A15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6FAD" w14:textId="00EF14E1" w:rsidR="00A154A1" w:rsidRPr="00146722" w:rsidRDefault="00950E04" w:rsidP="00884175">
    <w:pPr>
      <w:spacing w:before="60" w:after="0" w:line="240" w:lineRule="auto"/>
      <w:rPr>
        <w:sz w:val="36"/>
        <w:szCs w:val="36"/>
      </w:rPr>
    </w:pPr>
    <w:r>
      <w:rPr>
        <w:rFonts w:ascii="Candara" w:hAnsi="Candara" w:cstheme="minorHAnsi"/>
        <w:b/>
        <w:bCs/>
        <w:color w:val="1F3864" w:themeColor="accent1" w:themeShade="80"/>
        <w:sz w:val="36"/>
        <w:szCs w:val="36"/>
      </w:rPr>
      <w:t xml:space="preserve">VOLUNTEER </w:t>
    </w:r>
    <w:r w:rsidR="00242457" w:rsidRPr="00146722">
      <w:rPr>
        <w:rFonts w:ascii="Candara" w:hAnsi="Candara" w:cstheme="minorHAnsi"/>
        <w:b/>
        <w:bCs/>
        <w:color w:val="1F3864" w:themeColor="accent1" w:themeShade="80"/>
        <w:sz w:val="36"/>
        <w:szCs w:val="36"/>
      </w:rPr>
      <w:t xml:space="preserve">ACTIVITY: </w:t>
    </w:r>
    <w:r w:rsidR="00593B30">
      <w:rPr>
        <w:rFonts w:ascii="Candara" w:hAnsi="Candara" w:cstheme="minorHAnsi"/>
        <w:b/>
        <w:bCs/>
        <w:color w:val="1F3864" w:themeColor="accent1" w:themeShade="80"/>
        <w:sz w:val="36"/>
        <w:szCs w:val="36"/>
      </w:rPr>
      <w:t xml:space="preserve">FINAL REPORT </w:t>
    </w:r>
    <w:r>
      <w:rPr>
        <w:rFonts w:ascii="Candara" w:hAnsi="Candara" w:cstheme="minorHAnsi"/>
        <w:b/>
        <w:bCs/>
        <w:color w:val="1F3864" w:themeColor="accent1" w:themeShade="80"/>
        <w:sz w:val="36"/>
        <w:szCs w:val="36"/>
      </w:rPr>
      <w:t>ASSESSMENT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244D2"/>
    <w:multiLevelType w:val="hybridMultilevel"/>
    <w:tmpl w:val="BB08B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DD53DF"/>
    <w:multiLevelType w:val="hybridMultilevel"/>
    <w:tmpl w:val="FDAAF57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9F5304C"/>
    <w:multiLevelType w:val="hybridMultilevel"/>
    <w:tmpl w:val="8D987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D8A20C7"/>
    <w:multiLevelType w:val="hybridMultilevel"/>
    <w:tmpl w:val="4D68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D71BD"/>
    <w:multiLevelType w:val="hybridMultilevel"/>
    <w:tmpl w:val="3E3A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D2446C"/>
    <w:multiLevelType w:val="hybridMultilevel"/>
    <w:tmpl w:val="5C6AAA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4132042">
    <w:abstractNumId w:val="1"/>
  </w:num>
  <w:num w:numId="2" w16cid:durableId="719207679">
    <w:abstractNumId w:val="2"/>
  </w:num>
  <w:num w:numId="3" w16cid:durableId="1781217902">
    <w:abstractNumId w:val="3"/>
  </w:num>
  <w:num w:numId="4" w16cid:durableId="254096931">
    <w:abstractNumId w:val="0"/>
  </w:num>
  <w:num w:numId="5" w16cid:durableId="697507603">
    <w:abstractNumId w:val="5"/>
  </w:num>
  <w:num w:numId="6" w16cid:durableId="1728262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52A"/>
    <w:rsid w:val="001424B0"/>
    <w:rsid w:val="00146722"/>
    <w:rsid w:val="0015632E"/>
    <w:rsid w:val="001807FF"/>
    <w:rsid w:val="001D3968"/>
    <w:rsid w:val="001F2AE8"/>
    <w:rsid w:val="00242457"/>
    <w:rsid w:val="002B5873"/>
    <w:rsid w:val="002E033C"/>
    <w:rsid w:val="003403AE"/>
    <w:rsid w:val="003A7E38"/>
    <w:rsid w:val="003B7CC2"/>
    <w:rsid w:val="003F62B4"/>
    <w:rsid w:val="00402B77"/>
    <w:rsid w:val="004665F3"/>
    <w:rsid w:val="00473944"/>
    <w:rsid w:val="00575AF0"/>
    <w:rsid w:val="00593B30"/>
    <w:rsid w:val="005C7247"/>
    <w:rsid w:val="005E60D8"/>
    <w:rsid w:val="0061186B"/>
    <w:rsid w:val="00613FB1"/>
    <w:rsid w:val="00725FB4"/>
    <w:rsid w:val="00753F37"/>
    <w:rsid w:val="00790F89"/>
    <w:rsid w:val="007949D0"/>
    <w:rsid w:val="007E04CB"/>
    <w:rsid w:val="007E2511"/>
    <w:rsid w:val="007F302D"/>
    <w:rsid w:val="00821730"/>
    <w:rsid w:val="0088036E"/>
    <w:rsid w:val="00884175"/>
    <w:rsid w:val="00887C86"/>
    <w:rsid w:val="008C12F4"/>
    <w:rsid w:val="008D156F"/>
    <w:rsid w:val="0091021D"/>
    <w:rsid w:val="00937F0F"/>
    <w:rsid w:val="00950E04"/>
    <w:rsid w:val="00995662"/>
    <w:rsid w:val="00A154A1"/>
    <w:rsid w:val="00A32033"/>
    <w:rsid w:val="00A6512F"/>
    <w:rsid w:val="00A7121C"/>
    <w:rsid w:val="00AC0941"/>
    <w:rsid w:val="00AD4EF4"/>
    <w:rsid w:val="00AF57A7"/>
    <w:rsid w:val="00B32571"/>
    <w:rsid w:val="00B618D8"/>
    <w:rsid w:val="00B71278"/>
    <w:rsid w:val="00BA052A"/>
    <w:rsid w:val="00BD6F22"/>
    <w:rsid w:val="00BE7F75"/>
    <w:rsid w:val="00BF10CD"/>
    <w:rsid w:val="00BF1847"/>
    <w:rsid w:val="00C21CA9"/>
    <w:rsid w:val="00C4398C"/>
    <w:rsid w:val="00C47E83"/>
    <w:rsid w:val="00C51340"/>
    <w:rsid w:val="00CA2277"/>
    <w:rsid w:val="00D15B00"/>
    <w:rsid w:val="00D21C22"/>
    <w:rsid w:val="00D27DA9"/>
    <w:rsid w:val="00D67CFC"/>
    <w:rsid w:val="00E03DC9"/>
    <w:rsid w:val="00E510D7"/>
    <w:rsid w:val="00E85DD0"/>
    <w:rsid w:val="00EC1E33"/>
    <w:rsid w:val="00ED0A0F"/>
    <w:rsid w:val="00F17DF8"/>
    <w:rsid w:val="00FC148F"/>
    <w:rsid w:val="00FE2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BF20A"/>
  <w15:chartTrackingRefBased/>
  <w15:docId w15:val="{CE0F9966-C859-4245-AA68-0608C33B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48F"/>
    <w:pPr>
      <w:ind w:left="720"/>
      <w:contextualSpacing/>
    </w:pPr>
  </w:style>
  <w:style w:type="character" w:styleId="Hyperlink">
    <w:name w:val="Hyperlink"/>
    <w:basedOn w:val="DefaultParagraphFont"/>
    <w:uiPriority w:val="99"/>
    <w:unhideWhenUsed/>
    <w:rsid w:val="002B5873"/>
    <w:rPr>
      <w:color w:val="0563C1" w:themeColor="hyperlink"/>
      <w:u w:val="single"/>
    </w:rPr>
  </w:style>
  <w:style w:type="character" w:customStyle="1" w:styleId="UnresolvedMention1">
    <w:name w:val="Unresolved Mention1"/>
    <w:basedOn w:val="DefaultParagraphFont"/>
    <w:uiPriority w:val="99"/>
    <w:semiHidden/>
    <w:unhideWhenUsed/>
    <w:rsid w:val="002B5873"/>
    <w:rPr>
      <w:color w:val="605E5C"/>
      <w:shd w:val="clear" w:color="auto" w:fill="E1DFDD"/>
    </w:rPr>
  </w:style>
  <w:style w:type="paragraph" w:styleId="Header">
    <w:name w:val="header"/>
    <w:basedOn w:val="Normal"/>
    <w:link w:val="HeaderChar"/>
    <w:uiPriority w:val="99"/>
    <w:unhideWhenUsed/>
    <w:rsid w:val="00A15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4A1"/>
  </w:style>
  <w:style w:type="paragraph" w:styleId="Footer">
    <w:name w:val="footer"/>
    <w:basedOn w:val="Normal"/>
    <w:link w:val="FooterChar"/>
    <w:uiPriority w:val="99"/>
    <w:unhideWhenUsed/>
    <w:rsid w:val="00A15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4A1"/>
  </w:style>
  <w:style w:type="table" w:styleId="TableGrid">
    <w:name w:val="Table Grid"/>
    <w:basedOn w:val="TableNormal"/>
    <w:uiPriority w:val="39"/>
    <w:rsid w:val="00821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121C"/>
    <w:pPr>
      <w:autoSpaceDE w:val="0"/>
      <w:autoSpaceDN w:val="0"/>
      <w:adjustRightInd w:val="0"/>
      <w:spacing w:after="0" w:line="240" w:lineRule="auto"/>
    </w:pPr>
    <w:rPr>
      <w:rFonts w:ascii="Lucida Sans" w:hAnsi="Lucida Sans" w:cs="Lucida Sans"/>
      <w:color w:val="000000"/>
      <w:sz w:val="24"/>
      <w:szCs w:val="24"/>
      <w:lang w:val="is-IS"/>
    </w:rPr>
  </w:style>
  <w:style w:type="paragraph" w:styleId="BalloonText">
    <w:name w:val="Balloon Text"/>
    <w:basedOn w:val="Normal"/>
    <w:link w:val="BalloonTextChar"/>
    <w:uiPriority w:val="99"/>
    <w:semiHidden/>
    <w:unhideWhenUsed/>
    <w:rsid w:val="00B61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8D8"/>
    <w:rPr>
      <w:rFonts w:ascii="Segoe UI" w:hAnsi="Segoe UI" w:cs="Segoe UI"/>
      <w:sz w:val="18"/>
      <w:szCs w:val="18"/>
    </w:rPr>
  </w:style>
  <w:style w:type="character" w:styleId="CommentReference">
    <w:name w:val="annotation reference"/>
    <w:basedOn w:val="DefaultParagraphFont"/>
    <w:uiPriority w:val="99"/>
    <w:semiHidden/>
    <w:unhideWhenUsed/>
    <w:rsid w:val="00725FB4"/>
    <w:rPr>
      <w:sz w:val="16"/>
      <w:szCs w:val="16"/>
    </w:rPr>
  </w:style>
  <w:style w:type="paragraph" w:styleId="CommentText">
    <w:name w:val="annotation text"/>
    <w:basedOn w:val="Normal"/>
    <w:link w:val="CommentTextChar"/>
    <w:uiPriority w:val="99"/>
    <w:semiHidden/>
    <w:unhideWhenUsed/>
    <w:rsid w:val="00725FB4"/>
    <w:pPr>
      <w:spacing w:line="240" w:lineRule="auto"/>
    </w:pPr>
    <w:rPr>
      <w:sz w:val="20"/>
      <w:szCs w:val="20"/>
    </w:rPr>
  </w:style>
  <w:style w:type="character" w:customStyle="1" w:styleId="CommentTextChar">
    <w:name w:val="Comment Text Char"/>
    <w:basedOn w:val="DefaultParagraphFont"/>
    <w:link w:val="CommentText"/>
    <w:uiPriority w:val="99"/>
    <w:semiHidden/>
    <w:rsid w:val="00725FB4"/>
    <w:rPr>
      <w:sz w:val="20"/>
      <w:szCs w:val="20"/>
    </w:rPr>
  </w:style>
  <w:style w:type="paragraph" w:styleId="CommentSubject">
    <w:name w:val="annotation subject"/>
    <w:basedOn w:val="CommentText"/>
    <w:next w:val="CommentText"/>
    <w:link w:val="CommentSubjectChar"/>
    <w:uiPriority w:val="99"/>
    <w:semiHidden/>
    <w:unhideWhenUsed/>
    <w:rsid w:val="00725FB4"/>
    <w:rPr>
      <w:b/>
      <w:bCs/>
    </w:rPr>
  </w:style>
  <w:style w:type="character" w:customStyle="1" w:styleId="CommentSubjectChar">
    <w:name w:val="Comment Subject Char"/>
    <w:basedOn w:val="CommentTextChar"/>
    <w:link w:val="CommentSubject"/>
    <w:uiPriority w:val="99"/>
    <w:semiHidden/>
    <w:rsid w:val="00725FB4"/>
    <w:rPr>
      <w:b/>
      <w:bCs/>
      <w:sz w:val="20"/>
      <w:szCs w:val="20"/>
    </w:rPr>
  </w:style>
  <w:style w:type="paragraph" w:styleId="Revision">
    <w:name w:val="Revision"/>
    <w:hidden/>
    <w:uiPriority w:val="99"/>
    <w:semiHidden/>
    <w:rsid w:val="00B712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7326D-12BF-4321-9519-56F1C2ED1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2923</Characters>
  <Application>Microsoft Office Word</Application>
  <DocSecurity>0</DocSecurity>
  <Lines>50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dc:creator>
  <cp:keywords/>
  <dc:description/>
  <cp:lastModifiedBy>Paul G</cp:lastModifiedBy>
  <cp:revision>3</cp:revision>
  <cp:lastPrinted>2023-01-31T12:39:00Z</cp:lastPrinted>
  <dcterms:created xsi:type="dcterms:W3CDTF">2023-09-20T14:42:00Z</dcterms:created>
  <dcterms:modified xsi:type="dcterms:W3CDTF">2023-10-12T12:51:00Z</dcterms:modified>
</cp:coreProperties>
</file>