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E7748" w14:textId="31ADBE20" w:rsidR="00C150F9" w:rsidRDefault="00050F4E" w:rsidP="00C96F25">
      <w:pPr>
        <w:pStyle w:val="Annex"/>
        <w:spacing w:after="600"/>
        <w:ind w:left="0" w:firstLine="0"/>
        <w:jc w:val="center"/>
      </w:pPr>
      <w:r>
        <w:t xml:space="preserve">Priloga 2 – pravila, ki se uporabljajo za upravičene stroške </w:t>
      </w:r>
    </w:p>
    <w:p w14:paraId="33F02AC7" w14:textId="6D155C3A" w:rsidR="00050F4E" w:rsidRDefault="00F468CD" w:rsidP="00C114C7">
      <w:pPr>
        <w:pStyle w:val="Heading1"/>
        <w:numPr>
          <w:ilvl w:val="0"/>
          <w:numId w:val="36"/>
        </w:numPr>
        <w:rPr>
          <w:rFonts w:eastAsia="Calibri"/>
        </w:rPr>
      </w:pPr>
      <w:r>
        <w:t xml:space="preserve">Prispevki na enoto </w:t>
      </w:r>
    </w:p>
    <w:p w14:paraId="49E607A8" w14:textId="6281B5CE" w:rsidR="00443E91" w:rsidRPr="00A907AD" w:rsidRDefault="00443E91" w:rsidP="00934AAE">
      <w:pPr>
        <w:spacing w:after="200"/>
        <w:jc w:val="both"/>
        <w:rPr>
          <w:rFonts w:ascii="Times New Roman" w:hAnsi="Times New Roman" w:cs="Times New Roman"/>
          <w:szCs w:val="24"/>
        </w:rPr>
      </w:pPr>
      <w:r>
        <w:rPr>
          <w:rFonts w:ascii="Times New Roman" w:hAnsi="Times New Roman"/>
          <w:b/>
          <w:sz w:val="24"/>
        </w:rPr>
        <w:t>Kraj izvora</w:t>
      </w:r>
      <w:r>
        <w:rPr>
          <w:rFonts w:ascii="Times New Roman" w:hAnsi="Times New Roman"/>
          <w:sz w:val="24"/>
        </w:rPr>
        <w:t xml:space="preserve">: </w:t>
      </w:r>
      <w:r>
        <w:rPr>
          <w:rFonts w:ascii="Times New Roman" w:hAnsi="Times New Roman"/>
        </w:rPr>
        <w:t>kraj, kjer se nahaja organizacija pošiljateljica.</w:t>
      </w:r>
    </w:p>
    <w:p w14:paraId="18C09E63" w14:textId="5651AB02" w:rsidR="00443E91" w:rsidRDefault="00443E91" w:rsidP="00934AAE">
      <w:pPr>
        <w:suppressAutoHyphens/>
        <w:spacing w:after="200" w:line="276" w:lineRule="auto"/>
        <w:jc w:val="both"/>
        <w:rPr>
          <w:rFonts w:ascii="Times New Roman" w:eastAsia="Calibri" w:hAnsi="Times New Roman" w:cs="Times New Roman"/>
          <w:sz w:val="24"/>
          <w:szCs w:val="24"/>
        </w:rPr>
      </w:pPr>
      <w:r>
        <w:rPr>
          <w:rFonts w:ascii="Times New Roman" w:hAnsi="Times New Roman"/>
          <w:b/>
          <w:sz w:val="24"/>
        </w:rPr>
        <w:t>Trajnostno prevozno sredstvo:</w:t>
      </w:r>
      <w:r>
        <w:rPr>
          <w:rFonts w:ascii="Times New Roman" w:hAnsi="Times New Roman"/>
          <w:sz w:val="24"/>
        </w:rPr>
        <w:t xml:space="preserve"> kolo, avtobus, souporaba avtomobila in vlak. Nacionalna agencija lahko na podlagi ustaljene prakse in za vsak primer posebej kot trajnostna sprejme tudi druga prevozna sredstva. </w:t>
      </w:r>
    </w:p>
    <w:p w14:paraId="3088F416" w14:textId="77777777" w:rsidR="00443E91" w:rsidRPr="000E69C7" w:rsidRDefault="00443E91" w:rsidP="00934AAE">
      <w:pPr>
        <w:pStyle w:val="CommentText"/>
        <w:rPr>
          <w:sz w:val="24"/>
          <w:szCs w:val="24"/>
        </w:rPr>
      </w:pPr>
      <w:r>
        <w:rPr>
          <w:sz w:val="24"/>
        </w:rPr>
        <w:t>Prispevek na enoto za trajnostna prevozna sredstva (zeleno potovanje) je upravičen, če so bila za večino povratnega potovanja uporabljena trajnostna prevozna sredstva.</w:t>
      </w:r>
    </w:p>
    <w:p w14:paraId="1108CBB5" w14:textId="77777777" w:rsidR="00443E91" w:rsidRDefault="00443E91" w:rsidP="00934AAE">
      <w:pPr>
        <w:suppressAutoHyphens/>
        <w:spacing w:after="200" w:line="276" w:lineRule="auto"/>
        <w:jc w:val="both"/>
        <w:rPr>
          <w:rFonts w:ascii="Times New Roman" w:eastAsia="Calibri" w:hAnsi="Times New Roman" w:cs="Times New Roman"/>
          <w:sz w:val="24"/>
          <w:szCs w:val="24"/>
        </w:rPr>
      </w:pPr>
      <w:r>
        <w:rPr>
          <w:rFonts w:ascii="Times New Roman" w:hAnsi="Times New Roman"/>
          <w:b/>
          <w:sz w:val="24"/>
        </w:rPr>
        <w:t>Prispevek na enoto na razpon razdalje</w:t>
      </w:r>
      <w:r>
        <w:rPr>
          <w:rFonts w:ascii="Times New Roman" w:hAnsi="Times New Roman"/>
        </w:rPr>
        <w:t xml:space="preserve">: </w:t>
      </w:r>
      <w:r>
        <w:rPr>
          <w:rFonts w:ascii="Times New Roman" w:hAnsi="Times New Roman"/>
          <w:sz w:val="24"/>
        </w:rPr>
        <w:t>znesek, plačan za povratno potovanje med krajem odhoda in krajem prihoda.</w:t>
      </w:r>
    </w:p>
    <w:p w14:paraId="17D81A87" w14:textId="497CC2EB" w:rsidR="000018AA" w:rsidRDefault="00443E91" w:rsidP="00934AAE">
      <w:pPr>
        <w:spacing w:after="200"/>
        <w:jc w:val="both"/>
        <w:rPr>
          <w:rFonts w:ascii="Times New Roman" w:eastAsia="Calibri" w:hAnsi="Times New Roman" w:cs="Times New Roman"/>
          <w:sz w:val="24"/>
          <w:szCs w:val="24"/>
        </w:rPr>
      </w:pPr>
      <w:r>
        <w:rPr>
          <w:rFonts w:ascii="Times New Roman" w:hAnsi="Times New Roman"/>
          <w:b/>
          <w:sz w:val="24"/>
        </w:rPr>
        <w:t>Kraj</w:t>
      </w:r>
      <w:r>
        <w:rPr>
          <w:rFonts w:ascii="Times New Roman" w:hAnsi="Times New Roman"/>
        </w:rPr>
        <w:t>:  kraj, kjer se nahaja organizacija gostiteljica.</w:t>
      </w:r>
      <w:r>
        <w:rPr>
          <w:rFonts w:ascii="Times New Roman" w:hAnsi="Times New Roman"/>
          <w:sz w:val="24"/>
        </w:rPr>
        <w:t xml:space="preserve"> Če se sporoči drug kraj izvora ali izvajanja, mora upravičenec navesti razlog za to spremembo.</w:t>
      </w:r>
    </w:p>
    <w:p w14:paraId="0BF6D82B" w14:textId="27D06C2A" w:rsidR="00F94869" w:rsidRPr="00BF7339" w:rsidRDefault="00F94869" w:rsidP="00934AAE">
      <w:pPr>
        <w:spacing w:after="200"/>
        <w:jc w:val="both"/>
        <w:rPr>
          <w:rFonts w:ascii="Times New Roman" w:hAnsi="Times New Roman" w:cs="Times New Roman"/>
          <w:b/>
          <w:sz w:val="24"/>
          <w:szCs w:val="24"/>
        </w:rPr>
      </w:pPr>
      <w:r>
        <w:rPr>
          <w:rFonts w:ascii="Times New Roman" w:hAnsi="Times New Roman"/>
          <w:sz w:val="24"/>
        </w:rPr>
        <w:t>Čas poti se ne upošteva pri ugotavljanju skladnosti z minimalnim upravičenim trajanjem aktivnosti mobilnosti, določenim v Vodniku za prijavitelje.</w:t>
      </w:r>
    </w:p>
    <w:p w14:paraId="72E6FD08" w14:textId="2A92BB96" w:rsidR="005F6B71" w:rsidRDefault="003803A4" w:rsidP="005D5AA4">
      <w:pPr>
        <w:pStyle w:val="Heading2"/>
        <w:ind w:left="0" w:firstLine="0"/>
        <w:rPr>
          <w:rFonts w:ascii="Times New Roman" w:hAnsi="Times New Roman" w:cs="Times New Roman"/>
          <w:color w:val="000000"/>
          <w:szCs w:val="24"/>
        </w:rPr>
      </w:pPr>
      <w:r>
        <w:t xml:space="preserve">1.1 </w:t>
      </w:r>
      <w:r w:rsidR="006A5F79" w:rsidRPr="006124FB">
        <w:rPr>
          <w:bCs w:val="0"/>
        </w:rPr>
        <w:t>Podpora za potne stroške</w:t>
      </w:r>
    </w:p>
    <w:p w14:paraId="57D12370" w14:textId="54F3E86F" w:rsidR="00A907AD" w:rsidRPr="006508E8" w:rsidRDefault="00C7399D" w:rsidP="006508E8">
      <w:pPr>
        <w:suppressAutoHyphens/>
        <w:spacing w:line="276" w:lineRule="auto"/>
        <w:ind w:left="360"/>
        <w:rPr>
          <w:rFonts w:ascii="Times New Roman" w:hAnsi="Times New Roman" w:cs="Times New Roman"/>
          <w:color w:val="000000"/>
          <w:sz w:val="24"/>
          <w:szCs w:val="24"/>
        </w:rPr>
      </w:pPr>
      <w:r w:rsidDel="00C7399D">
        <w:rPr>
          <w:rFonts w:ascii="Times New Roman" w:hAnsi="Times New Roman"/>
          <w:i/>
          <w:color w:val="4AA55B"/>
          <w:sz w:val="24"/>
        </w:rPr>
        <w:t xml:space="preserve"> </w:t>
      </w:r>
      <w:r w:rsidR="00642CDD">
        <w:rPr>
          <w:rFonts w:ascii="Times New Roman" w:hAnsi="Times New Roman"/>
          <w:sz w:val="24"/>
          <w:u w:val="single"/>
        </w:rPr>
        <w:t>(a) Izračun skupnega prispevka na enoto</w:t>
      </w:r>
      <w:r w:rsidR="00642CDD">
        <w:rPr>
          <w:rFonts w:ascii="Times New Roman" w:hAnsi="Times New Roman"/>
          <w:sz w:val="24"/>
        </w:rPr>
        <w:t xml:space="preserve">: </w:t>
      </w:r>
    </w:p>
    <w:p w14:paraId="4BB67D3C" w14:textId="4FDC8611" w:rsidR="00727DB9" w:rsidRPr="00A907AD" w:rsidRDefault="00A907AD" w:rsidP="002B56F3">
      <w:pPr>
        <w:suppressAutoHyphens/>
        <w:spacing w:line="276" w:lineRule="auto"/>
        <w:jc w:val="both"/>
        <w:rPr>
          <w:rFonts w:ascii="Times New Roman" w:hAnsi="Times New Roman" w:cs="Times New Roman"/>
          <w:color w:val="000000"/>
          <w:sz w:val="24"/>
          <w:szCs w:val="24"/>
        </w:rPr>
      </w:pPr>
      <w:r>
        <w:rPr>
          <w:rFonts w:ascii="Times New Roman" w:hAnsi="Times New Roman"/>
          <w:sz w:val="24"/>
        </w:rPr>
        <w:t xml:space="preserve">Skupni prispevek na enoto za podporo za potne stroške se izračuna tako, da se število udeležencev in spremljevalcev na razpon razdalje poti pomnoži s prispevkom na enoto, ki se uporablja za zadevni razpon razdalje in vrsto potovanja (standardno ali s trajnostnimi sredstvi), kakor je določen v Prilogi 3 k Sporazumu. </w:t>
      </w:r>
    </w:p>
    <w:p w14:paraId="1D96ADFC" w14:textId="4448B84D" w:rsidR="00050F4E" w:rsidRPr="0065476B" w:rsidRDefault="00050F4E" w:rsidP="002B56F3">
      <w:pPr>
        <w:suppressAutoHyphens/>
        <w:spacing w:after="200" w:line="276" w:lineRule="auto"/>
        <w:jc w:val="both"/>
        <w:rPr>
          <w:rFonts w:ascii="Times New Roman" w:eastAsia="Calibri" w:hAnsi="Times New Roman" w:cs="Times New Roman"/>
          <w:sz w:val="24"/>
          <w:szCs w:val="24"/>
        </w:rPr>
      </w:pPr>
      <w:r>
        <w:rPr>
          <w:rFonts w:ascii="Times New Roman" w:hAnsi="Times New Roman"/>
          <w:sz w:val="24"/>
        </w:rPr>
        <w:t xml:space="preserve">Za določitev ustreznega razpona razdalje mora upravičenec navesti razdaljo enosmerne poti, ki jo izračuna s spletnim kalkulatorjem razdalje, ki je na voljo na spletišču Komisije: </w:t>
      </w:r>
      <w:hyperlink r:id="rId11" w:history="1">
        <w:r>
          <w:rPr>
            <w:rFonts w:ascii="Times New Roman" w:hAnsi="Times New Roman"/>
            <w:color w:val="0000FF"/>
            <w:sz w:val="24"/>
            <w:u w:val="single"/>
          </w:rPr>
          <w:t>https://ec.europa.eu/programmes/erasmus-plus/resources/distance-calculator_sl</w:t>
        </w:r>
      </w:hyperlink>
      <w:r>
        <w:t>.</w:t>
      </w:r>
      <w:r>
        <w:rPr>
          <w:rFonts w:ascii="Times New Roman" w:hAnsi="Times New Roman"/>
          <w:sz w:val="24"/>
        </w:rPr>
        <w:t xml:space="preserve"> </w:t>
      </w:r>
    </w:p>
    <w:p w14:paraId="0639262D" w14:textId="585EA9CD" w:rsidR="00050F4E" w:rsidRPr="0065476B" w:rsidRDefault="00DC41F5" w:rsidP="002B56F3">
      <w:pPr>
        <w:suppressAutoHyphens/>
        <w:spacing w:after="200" w:line="276" w:lineRule="auto"/>
        <w:jc w:val="both"/>
        <w:rPr>
          <w:rFonts w:ascii="Times New Roman" w:eastAsia="Calibri" w:hAnsi="Times New Roman" w:cs="Times New Roman"/>
          <w:sz w:val="24"/>
          <w:szCs w:val="24"/>
        </w:rPr>
      </w:pPr>
      <w:r>
        <w:rPr>
          <w:rFonts w:ascii="Times New Roman" w:hAnsi="Times New Roman"/>
          <w:sz w:val="24"/>
        </w:rPr>
        <w:t xml:space="preserve">Skupni prispevek na enoto za podporo za potne stroške izračuna upravičenec v orodju Erasmus+ za poročanje in upravljanje na podlagi veljavnih stopenj prispevka na enoto. </w:t>
      </w:r>
    </w:p>
    <w:p w14:paraId="3316ACB9" w14:textId="77777777" w:rsidR="00EB25FD" w:rsidRPr="0065476B" w:rsidRDefault="00EB25FD" w:rsidP="00EB25FD">
      <w:pPr>
        <w:pStyle w:val="HTMLPreformatted"/>
        <w:spacing w:line="276" w:lineRule="auto"/>
        <w:jc w:val="both"/>
        <w:rPr>
          <w:rFonts w:ascii="Times New Roman" w:eastAsia="Calibri" w:hAnsi="Times New Roman" w:cs="Times New Roman"/>
          <w:sz w:val="24"/>
          <w:szCs w:val="24"/>
          <w:lang w:eastAsia="ar-SA"/>
        </w:rPr>
      </w:pPr>
    </w:p>
    <w:p w14:paraId="7B0E19CC" w14:textId="72DAEF1C" w:rsidR="002E268B" w:rsidRDefault="00050F4E" w:rsidP="00C114C7">
      <w:pPr>
        <w:pStyle w:val="ListParagraph"/>
        <w:numPr>
          <w:ilvl w:val="0"/>
          <w:numId w:val="25"/>
        </w:numPr>
        <w:suppressAutoHyphens/>
        <w:spacing w:line="100" w:lineRule="atLeast"/>
        <w:rPr>
          <w:rFonts w:eastAsia="Calibri"/>
          <w:szCs w:val="24"/>
        </w:rPr>
      </w:pPr>
      <w:r>
        <w:rPr>
          <w:u w:val="single"/>
        </w:rPr>
        <w:t>Sprožilni dogodek</w:t>
      </w:r>
    </w:p>
    <w:p w14:paraId="1F607AD7" w14:textId="29A1F062" w:rsidR="00050F4E" w:rsidRPr="0065476B" w:rsidRDefault="002E268B" w:rsidP="002B56F3">
      <w:pPr>
        <w:suppressAutoHyphens/>
        <w:spacing w:after="0" w:line="100" w:lineRule="atLeast"/>
        <w:jc w:val="both"/>
        <w:rPr>
          <w:rFonts w:ascii="Times New Roman" w:eastAsia="Calibri" w:hAnsi="Times New Roman" w:cs="Times New Roman"/>
          <w:sz w:val="24"/>
          <w:szCs w:val="24"/>
        </w:rPr>
      </w:pPr>
      <w:r>
        <w:rPr>
          <w:rFonts w:ascii="Times New Roman" w:hAnsi="Times New Roman"/>
          <w:sz w:val="24"/>
        </w:rPr>
        <w:t>Podpora za potne stroške se izplača le, če se je udeleženec dejansko udeležil aktivnosti.</w:t>
      </w:r>
    </w:p>
    <w:p w14:paraId="53555FE6" w14:textId="77777777"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0D4CD393" w14:textId="68A27223" w:rsidR="00050F4E" w:rsidRPr="00D42C3B" w:rsidRDefault="00050F4E" w:rsidP="00C114C7">
      <w:pPr>
        <w:pStyle w:val="ListParagraph"/>
        <w:numPr>
          <w:ilvl w:val="0"/>
          <w:numId w:val="25"/>
        </w:numPr>
        <w:suppressAutoHyphens/>
        <w:spacing w:after="0" w:line="100" w:lineRule="atLeast"/>
        <w:rPr>
          <w:rFonts w:eastAsia="Calibri"/>
          <w:szCs w:val="24"/>
          <w:u w:val="single"/>
        </w:rPr>
      </w:pPr>
      <w:r>
        <w:rPr>
          <w:color w:val="000000"/>
          <w:u w:val="single"/>
        </w:rPr>
        <w:t>Dokazila</w:t>
      </w:r>
    </w:p>
    <w:p w14:paraId="575D59C9" w14:textId="77777777" w:rsidR="00050F4E" w:rsidRPr="0065476B" w:rsidRDefault="00050F4E" w:rsidP="00050F4E">
      <w:pPr>
        <w:suppressAutoHyphens/>
        <w:spacing w:after="0" w:line="100" w:lineRule="atLeast"/>
        <w:ind w:left="720"/>
        <w:rPr>
          <w:rFonts w:ascii="Times New Roman" w:eastAsia="SimSun" w:hAnsi="Times New Roman" w:cs="Times New Roman"/>
          <w:color w:val="000000"/>
          <w:sz w:val="24"/>
          <w:szCs w:val="24"/>
          <w:lang w:eastAsia="ar-SA"/>
        </w:rPr>
      </w:pPr>
    </w:p>
    <w:p w14:paraId="24B66FFC" w14:textId="75C2F4ED" w:rsidR="00050F4E" w:rsidRPr="0065476B" w:rsidRDefault="00C7399D" w:rsidP="002B56F3">
      <w:pPr>
        <w:suppressAutoHyphens/>
        <w:spacing w:after="240" w:line="276" w:lineRule="auto"/>
        <w:jc w:val="both"/>
        <w:rPr>
          <w:rFonts w:ascii="Times New Roman" w:eastAsia="SimSun" w:hAnsi="Times New Roman" w:cs="Times New Roman"/>
          <w:color w:val="000000"/>
          <w:sz w:val="24"/>
          <w:szCs w:val="24"/>
        </w:rPr>
      </w:pPr>
      <w:r w:rsidDel="00C7399D">
        <w:rPr>
          <w:rFonts w:ascii="Times New Roman" w:hAnsi="Times New Roman"/>
          <w:i/>
          <w:color w:val="4AA55B"/>
          <w:sz w:val="24"/>
        </w:rPr>
        <w:lastRenderedPageBreak/>
        <w:t xml:space="preserve">  </w:t>
      </w:r>
      <w:r w:rsidR="00050F4E">
        <w:rPr>
          <w:rFonts w:ascii="Times New Roman" w:hAnsi="Times New Roman"/>
          <w:color w:val="000000"/>
          <w:sz w:val="24"/>
        </w:rPr>
        <w:t xml:space="preserve">Individualne aktivnosti: dokazilo o udeležbi v aktivnosti v obliki potrdila </w:t>
      </w:r>
      <w:proofErr w:type="spellStart"/>
      <w:r w:rsidR="00050F4E">
        <w:rPr>
          <w:rFonts w:ascii="Times New Roman" w:hAnsi="Times New Roman"/>
          <w:color w:val="000000"/>
          <w:sz w:val="24"/>
        </w:rPr>
        <w:t>Europass</w:t>
      </w:r>
      <w:proofErr w:type="spellEnd"/>
      <w:r w:rsidR="00050F4E">
        <w:rPr>
          <w:rFonts w:ascii="Times New Roman" w:hAnsi="Times New Roman"/>
          <w:color w:val="000000"/>
          <w:sz w:val="24"/>
        </w:rPr>
        <w:t xml:space="preserve"> mobilnost ali drugega dokumenta, v katerem so navedeni učni izidi ter začetni in končni datum aktivnosti. Če udeležence med aktivnostjo podpirajo spremljevalci, se vključijo tudi njihova imena in trajanje bivanja. Dokazila morata podpisati organizacija gostiteljica in udeleženec. </w:t>
      </w:r>
      <w:r w:rsidR="00050F4E">
        <w:rPr>
          <w:rFonts w:ascii="Times New Roman" w:hAnsi="Times New Roman"/>
          <w:sz w:val="24"/>
        </w:rPr>
        <w:t xml:space="preserve">Za povabljene strokovnjake se seznam učnih izidov nadomesti z učnim programom, ki ga zagotovi strokovnjak </w:t>
      </w:r>
      <w:r w:rsidR="00050F4E" w:rsidRPr="009627FE">
        <w:rPr>
          <w:rFonts w:ascii="Times New Roman" w:hAnsi="Times New Roman"/>
          <w:sz w:val="24"/>
        </w:rPr>
        <w:t>in podpiše organizacija,</w:t>
      </w:r>
      <w:r w:rsidR="00050F4E">
        <w:rPr>
          <w:rFonts w:ascii="Times New Roman" w:hAnsi="Times New Roman"/>
          <w:sz w:val="24"/>
        </w:rPr>
        <w:t xml:space="preserve"> ki vabi.</w:t>
      </w:r>
      <w:r w:rsidR="00050F4E">
        <w:rPr>
          <w:rFonts w:ascii="Times New Roman" w:hAnsi="Times New Roman"/>
          <w:color w:val="000000"/>
          <w:sz w:val="24"/>
        </w:rPr>
        <w:t xml:space="preserve"> </w:t>
      </w:r>
      <w:r w:rsidR="00050F4E" w:rsidRPr="006124FB">
        <w:rPr>
          <w:rFonts w:ascii="Times New Roman" w:hAnsi="Times New Roman"/>
          <w:color w:val="000000"/>
          <w:sz w:val="24"/>
        </w:rPr>
        <w:t xml:space="preserve">Poleg tega se kot dokazilo zahteva podpisani sporazum o nepovratnih sredstvih med upravičencem in udeležencem za naslednje vrste aktivnosti: </w:t>
      </w:r>
      <w:r w:rsidR="006124FB" w:rsidRPr="006124FB">
        <w:rPr>
          <w:rFonts w:ascii="Times New Roman" w:hAnsi="Times New Roman"/>
          <w:color w:val="000000"/>
          <w:sz w:val="24"/>
        </w:rPr>
        <w:t>sledenje na delovnem mestu ali obdobja opazovanja,</w:t>
      </w:r>
      <w:bookmarkStart w:id="0" w:name="_GoBack"/>
      <w:bookmarkEnd w:id="0"/>
      <w:r w:rsidR="006124FB" w:rsidRPr="006124FB">
        <w:rPr>
          <w:rFonts w:ascii="Times New Roman" w:hAnsi="Times New Roman"/>
          <w:color w:val="000000"/>
          <w:sz w:val="24"/>
        </w:rPr>
        <w:t xml:space="preserve"> mentorstvo ali usposabljanje, pripravljalni obiski.</w:t>
      </w:r>
    </w:p>
    <w:p w14:paraId="742A5489" w14:textId="2362634D" w:rsidR="00ED7C3D" w:rsidRDefault="00D81244" w:rsidP="0065476B">
      <w:pPr>
        <w:suppressAutoHyphens/>
        <w:spacing w:after="0" w:line="276" w:lineRule="auto"/>
        <w:jc w:val="both"/>
        <w:rPr>
          <w:rFonts w:ascii="Times New Roman" w:eastAsia="SimSun" w:hAnsi="Times New Roman" w:cs="Times New Roman"/>
          <w:sz w:val="24"/>
          <w:szCs w:val="24"/>
          <w:shd w:val="clear" w:color="auto" w:fill="00FFFF"/>
          <w:lang w:eastAsia="ar-SA"/>
        </w:rPr>
      </w:pPr>
      <w:r w:rsidRPr="00D81244" w:rsidDel="00057A0A">
        <w:rPr>
          <w:rFonts w:ascii="Times New Roman" w:hAnsi="Times New Roman"/>
          <w:i/>
          <w:color w:val="4AA55B"/>
          <w:sz w:val="24"/>
          <w:highlight w:val="cyan"/>
        </w:rPr>
        <w:t xml:space="preserve"> </w:t>
      </w:r>
    </w:p>
    <w:p w14:paraId="7018CA38" w14:textId="49D64706" w:rsidR="00BE5ACB" w:rsidRDefault="00BE5ACB" w:rsidP="00BE5ACB">
      <w:pPr>
        <w:suppressAutoHyphens/>
        <w:autoSpaceDE w:val="0"/>
        <w:autoSpaceDN w:val="0"/>
        <w:spacing w:after="0" w:line="276" w:lineRule="auto"/>
        <w:jc w:val="both"/>
        <w:rPr>
          <w:rFonts w:ascii="Times New Roman" w:eastAsia="Calibri" w:hAnsi="Times New Roman" w:cs="Times New Roman"/>
          <w:sz w:val="24"/>
          <w:szCs w:val="24"/>
        </w:rPr>
      </w:pPr>
      <w:r>
        <w:rPr>
          <w:rFonts w:ascii="Times New Roman" w:hAnsi="Times New Roman"/>
          <w:color w:val="000000"/>
          <w:sz w:val="24"/>
        </w:rPr>
        <w:t xml:space="preserve">Poleg navedenih dokazil se v primeru uporabe trajnostnih prevoznih sredstev (zeleno potovanje): kot dokazilo uporablja častna izjava, ki jo podpiše oseba, ki prejme nepovratna sredstva za potne stroške. </w:t>
      </w:r>
    </w:p>
    <w:p w14:paraId="60501EFB" w14:textId="77777777" w:rsidR="00BE5ACB" w:rsidRDefault="00BE5ACB" w:rsidP="0065476B">
      <w:pPr>
        <w:suppressAutoHyphens/>
        <w:spacing w:after="0" w:line="276" w:lineRule="auto"/>
        <w:jc w:val="both"/>
        <w:rPr>
          <w:rFonts w:ascii="Times New Roman" w:eastAsia="SimSun" w:hAnsi="Times New Roman" w:cs="Times New Roman"/>
          <w:sz w:val="24"/>
          <w:szCs w:val="24"/>
          <w:shd w:val="clear" w:color="auto" w:fill="00FFFF"/>
          <w:lang w:eastAsia="ar-SA"/>
        </w:rPr>
      </w:pPr>
    </w:p>
    <w:p w14:paraId="4075C7A9" w14:textId="4D597EBD" w:rsidR="00405EFB" w:rsidRDefault="00ED7C3D" w:rsidP="00EB2CC0">
      <w:pPr>
        <w:suppressAutoHyphens/>
        <w:spacing w:line="276" w:lineRule="auto"/>
        <w:jc w:val="both"/>
        <w:rPr>
          <w:rFonts w:ascii="Times New Roman" w:eastAsia="Calibri" w:hAnsi="Times New Roman" w:cs="Times New Roman"/>
          <w:sz w:val="24"/>
          <w:szCs w:val="24"/>
        </w:rPr>
      </w:pPr>
      <w:r>
        <w:rPr>
          <w:rFonts w:ascii="Times New Roman" w:hAnsi="Times New Roman"/>
          <w:sz w:val="24"/>
        </w:rPr>
        <w:t>Če se začetna točka potovanja razlikuje od kraja izvora ali če se končna točka potovanja razlikuje od kraja izvajanja, mora upravičenec sporočiti razlog za to razliko. Če potovanje ni bilo opravljeno ali če je bilo financirano iz virov EU, ki ne spadajo v program Erasmus+, bo upravičenec v svojem poročilu navedel, da finančna podpora za potovanje ni potrebna.</w:t>
      </w:r>
    </w:p>
    <w:p w14:paraId="001F9963" w14:textId="209F5108" w:rsidR="00050F4E" w:rsidRPr="000950C5" w:rsidRDefault="00791D7A" w:rsidP="000950C5">
      <w:pPr>
        <w:pStyle w:val="Heading2"/>
        <w:ind w:left="0" w:firstLine="0"/>
        <w:rPr>
          <w:rFonts w:eastAsia="Calibri"/>
          <w:b w:val="0"/>
          <w:bCs w:val="0"/>
          <w:szCs w:val="24"/>
        </w:rPr>
      </w:pPr>
      <w:r>
        <w:t>1.2 Individualna podpora</w:t>
      </w:r>
    </w:p>
    <w:p w14:paraId="0E049085" w14:textId="08F3E183" w:rsidR="0019420E" w:rsidRPr="00346A1C" w:rsidRDefault="0019420E" w:rsidP="00C114C7">
      <w:pPr>
        <w:pStyle w:val="ListParagraph"/>
        <w:numPr>
          <w:ilvl w:val="0"/>
          <w:numId w:val="26"/>
        </w:numPr>
        <w:tabs>
          <w:tab w:val="left" w:pos="567"/>
        </w:tabs>
        <w:suppressAutoHyphens/>
        <w:spacing w:after="240" w:line="276" w:lineRule="auto"/>
        <w:rPr>
          <w:rFonts w:eastAsia="Calibri"/>
          <w:szCs w:val="24"/>
        </w:rPr>
      </w:pPr>
      <w:r>
        <w:rPr>
          <w:u w:val="single"/>
        </w:rPr>
        <w:t>Izračun skupnega prispevka na enoto</w:t>
      </w:r>
      <w:r>
        <w:t xml:space="preserve"> </w:t>
      </w:r>
    </w:p>
    <w:p w14:paraId="574C1BF8" w14:textId="4698B51A" w:rsidR="00050F4E" w:rsidRPr="0065476B" w:rsidRDefault="00050F4E" w:rsidP="003C5309">
      <w:pPr>
        <w:tabs>
          <w:tab w:val="left" w:pos="0"/>
        </w:tabs>
        <w:suppressAutoHyphens/>
        <w:spacing w:after="240" w:line="276" w:lineRule="auto"/>
        <w:jc w:val="both"/>
        <w:rPr>
          <w:rFonts w:ascii="Times New Roman" w:eastAsia="Calibri" w:hAnsi="Times New Roman" w:cs="Times New Roman"/>
          <w:sz w:val="24"/>
          <w:szCs w:val="24"/>
        </w:rPr>
      </w:pPr>
      <w:r>
        <w:rPr>
          <w:rFonts w:ascii="Times New Roman" w:hAnsi="Times New Roman"/>
          <w:sz w:val="24"/>
        </w:rPr>
        <w:t>Skupni prispevek na enoto se izračuna tako, da se število dni na udeleženca in spremljevalca pomnoži s prispevkom na enoto na dan, ki se uporablja za zadevno državo gostiteljico, kakor je določen v Prilogi 3 k Sporazumu. Lahko se dodajo dnevi potovanja, če je to relevantno za posamezno aktivnost.</w:t>
      </w:r>
    </w:p>
    <w:p w14:paraId="68B37260" w14:textId="34ADAF0C" w:rsidR="00050F4E" w:rsidRPr="00B955B0" w:rsidRDefault="00050F4E" w:rsidP="003C5309">
      <w:pPr>
        <w:tabs>
          <w:tab w:val="left" w:pos="284"/>
          <w:tab w:val="left" w:pos="993"/>
        </w:tabs>
        <w:suppressAutoHyphens/>
        <w:spacing w:after="200" w:line="276" w:lineRule="auto"/>
        <w:jc w:val="both"/>
        <w:rPr>
          <w:rFonts w:ascii="Times New Roman" w:eastAsia="Calibri" w:hAnsi="Times New Roman" w:cs="Times New Roman"/>
          <w:sz w:val="24"/>
          <w:szCs w:val="24"/>
        </w:rPr>
      </w:pPr>
      <w:r>
        <w:rPr>
          <w:rFonts w:ascii="Times New Roman" w:hAnsi="Times New Roman"/>
          <w:sz w:val="24"/>
        </w:rPr>
        <w:t>Če se bivanje prekine, se obdobje prekinitve ne upošteva pri izračunu nepovratnih sredstev za individualno podporo. V primeru prekinitve zaradi višje sile je treba udeležencu dovoliti ponovno nadaljevanje aktivnosti po prekinitvi (pod pogoji iz tega sporazuma).</w:t>
      </w:r>
    </w:p>
    <w:p w14:paraId="4737B76C" w14:textId="01BB1BC2" w:rsidR="00050F4E" w:rsidRPr="0065476B" w:rsidRDefault="00050F4E" w:rsidP="00CC28C4">
      <w:pPr>
        <w:tabs>
          <w:tab w:val="left" w:pos="284"/>
          <w:tab w:val="left" w:pos="993"/>
        </w:tabs>
        <w:suppressAutoHyphens/>
        <w:spacing w:after="200" w:line="276" w:lineRule="auto"/>
        <w:jc w:val="both"/>
        <w:rPr>
          <w:rFonts w:ascii="Times New Roman" w:eastAsia="Calibri" w:hAnsi="Times New Roman" w:cs="Times New Roman"/>
          <w:sz w:val="24"/>
          <w:szCs w:val="24"/>
        </w:rPr>
      </w:pPr>
      <w:r>
        <w:rPr>
          <w:rFonts w:ascii="Times New Roman" w:hAnsi="Times New Roman"/>
          <w:sz w:val="24"/>
        </w:rPr>
        <w:t>Če udeleženec odpove sporazum zaradi višje sile, mora biti upravičen do prejema zneska nepovratnih sredstev, ki ustreza dejanskemu trajanju obdobja mobilnosti. Preostala sredstva je treba vrniti upravičencu, razen če sta se stranki dogovorili drugače.</w:t>
      </w:r>
    </w:p>
    <w:p w14:paraId="5081D591" w14:textId="77777777" w:rsidR="00CC28C4" w:rsidRDefault="00050F4E" w:rsidP="00C114C7">
      <w:pPr>
        <w:pStyle w:val="ListParagraph"/>
        <w:numPr>
          <w:ilvl w:val="0"/>
          <w:numId w:val="26"/>
        </w:numPr>
        <w:tabs>
          <w:tab w:val="left" w:pos="567"/>
        </w:tabs>
        <w:suppressAutoHyphens/>
        <w:spacing w:after="240" w:line="100" w:lineRule="atLeast"/>
        <w:rPr>
          <w:rFonts w:eastAsia="Calibri"/>
          <w:szCs w:val="24"/>
        </w:rPr>
      </w:pPr>
      <w:r>
        <w:rPr>
          <w:u w:val="single"/>
        </w:rPr>
        <w:t>Sprožilni dogodek</w:t>
      </w:r>
      <w:r>
        <w:t xml:space="preserve"> </w:t>
      </w:r>
    </w:p>
    <w:p w14:paraId="3F848F50" w14:textId="70003D33" w:rsidR="00050F4E" w:rsidRPr="000E3C7C" w:rsidRDefault="00CC28C4" w:rsidP="00CC28C4">
      <w:pPr>
        <w:tabs>
          <w:tab w:val="left" w:pos="567"/>
        </w:tabs>
        <w:suppressAutoHyphens/>
        <w:spacing w:after="240" w:line="100" w:lineRule="atLeast"/>
        <w:jc w:val="both"/>
        <w:rPr>
          <w:rFonts w:ascii="Times New Roman" w:eastAsia="Calibri" w:hAnsi="Times New Roman" w:cs="Times New Roman"/>
          <w:sz w:val="24"/>
          <w:szCs w:val="24"/>
        </w:rPr>
      </w:pPr>
      <w:r>
        <w:rPr>
          <w:rFonts w:ascii="Times New Roman" w:hAnsi="Times New Roman"/>
          <w:sz w:val="24"/>
        </w:rPr>
        <w:t>Individualna podpora se izplača le, če se je udeleženec dejansko udeležil aktivnosti za določeno obdobje.</w:t>
      </w:r>
    </w:p>
    <w:p w14:paraId="5B7ACB2D" w14:textId="77777777" w:rsidR="00050F4E" w:rsidRPr="000E3C7C" w:rsidRDefault="00050F4E" w:rsidP="00C114C7">
      <w:pPr>
        <w:numPr>
          <w:ilvl w:val="0"/>
          <w:numId w:val="26"/>
        </w:numPr>
        <w:suppressAutoHyphens/>
        <w:spacing w:after="240" w:line="100" w:lineRule="atLeast"/>
        <w:ind w:left="567" w:hanging="425"/>
        <w:rPr>
          <w:rFonts w:ascii="Times New Roman" w:eastAsia="Calibri" w:hAnsi="Times New Roman" w:cs="Times New Roman"/>
          <w:sz w:val="24"/>
          <w:szCs w:val="24"/>
          <w:u w:val="single"/>
        </w:rPr>
      </w:pPr>
      <w:r>
        <w:rPr>
          <w:rFonts w:ascii="Times New Roman" w:hAnsi="Times New Roman"/>
          <w:color w:val="000000"/>
          <w:sz w:val="24"/>
          <w:u w:val="single"/>
        </w:rPr>
        <w:t>Dokazila</w:t>
      </w:r>
    </w:p>
    <w:p w14:paraId="126FC7C5" w14:textId="35CE82E4" w:rsidR="000A6662" w:rsidRPr="000E3C7C" w:rsidRDefault="000A6662" w:rsidP="00804C45">
      <w:pPr>
        <w:pStyle w:val="ListParagraph"/>
        <w:suppressAutoHyphens/>
        <w:spacing w:after="240" w:line="276" w:lineRule="auto"/>
        <w:ind w:left="0"/>
        <w:rPr>
          <w:rFonts w:eastAsia="Calibri"/>
          <w:szCs w:val="24"/>
        </w:rPr>
      </w:pPr>
      <w:r>
        <w:lastRenderedPageBreak/>
        <w:t>Enaka dokazila, kot se zahtevajo za standardno potovanje (glej oddelek 1.1.c).</w:t>
      </w:r>
    </w:p>
    <w:p w14:paraId="6BEC9BA5" w14:textId="38DC2161" w:rsidR="00050F4E" w:rsidRPr="00CD78E4" w:rsidRDefault="00057A0A" w:rsidP="00C114C7">
      <w:pPr>
        <w:numPr>
          <w:ilvl w:val="0"/>
          <w:numId w:val="26"/>
        </w:numPr>
        <w:suppressAutoHyphens/>
        <w:spacing w:after="240" w:line="100" w:lineRule="atLeast"/>
        <w:ind w:left="567" w:hanging="425"/>
        <w:rPr>
          <w:rFonts w:ascii="Times New Roman" w:eastAsia="Calibri" w:hAnsi="Times New Roman" w:cs="Times New Roman"/>
          <w:color w:val="000000"/>
          <w:sz w:val="24"/>
          <w:szCs w:val="24"/>
          <w:u w:val="single"/>
        </w:rPr>
      </w:pPr>
      <w:r w:rsidDel="00057A0A">
        <w:rPr>
          <w:rFonts w:ascii="Times New Roman" w:hAnsi="Times New Roman"/>
          <w:i/>
          <w:color w:val="4AA55B"/>
          <w:sz w:val="24"/>
        </w:rPr>
        <w:t xml:space="preserve"> </w:t>
      </w:r>
      <w:r w:rsidR="00050F4E">
        <w:rPr>
          <w:rFonts w:ascii="Times New Roman" w:hAnsi="Times New Roman"/>
          <w:color w:val="000000"/>
          <w:sz w:val="24"/>
          <w:u w:val="single"/>
        </w:rPr>
        <w:t xml:space="preserve">Poročanje </w:t>
      </w:r>
    </w:p>
    <w:p w14:paraId="7367949D" w14:textId="40452FB3" w:rsidR="00BC1584" w:rsidRPr="00563330" w:rsidRDefault="00F17F3C" w:rsidP="00CD78E4">
      <w:pPr>
        <w:suppressAutoHyphens/>
        <w:spacing w:line="276" w:lineRule="auto"/>
        <w:jc w:val="both"/>
        <w:rPr>
          <w:rFonts w:ascii="Times New Roman" w:eastAsia="Calibri" w:hAnsi="Times New Roman" w:cs="Times New Roman"/>
          <w:color w:val="1F497D"/>
          <w:sz w:val="24"/>
          <w:szCs w:val="24"/>
        </w:rPr>
      </w:pPr>
      <w:bookmarkStart w:id="1" w:name="_Hlk116664147"/>
      <w:r>
        <w:rPr>
          <w:rFonts w:ascii="Times New Roman" w:hAnsi="Times New Roman"/>
          <w:sz w:val="24"/>
        </w:rPr>
        <w:t xml:space="preserve">Udeleženci morajo uporabiti standardni spletni vprašalnik, ki ga da na razpolago Evropska komisija (poročilo udeleženca), da sporočijo dejanske informacije in svojo oceno aktivnosti mobilnosti, njene priprave in nadaljnjega spremljanja. </w:t>
      </w:r>
    </w:p>
    <w:bookmarkEnd w:id="1"/>
    <w:p w14:paraId="6F362200" w14:textId="59EE678F" w:rsidR="00B22CF8" w:rsidRPr="00134C41" w:rsidRDefault="00057A0A" w:rsidP="00CD78E4">
      <w:pPr>
        <w:tabs>
          <w:tab w:val="left" w:pos="993"/>
        </w:tabs>
        <w:suppressAutoHyphens/>
        <w:spacing w:line="276" w:lineRule="auto"/>
        <w:jc w:val="both"/>
        <w:rPr>
          <w:rFonts w:ascii="Times New Roman" w:eastAsia="Calibri" w:hAnsi="Times New Roman" w:cs="Times New Roman"/>
          <w:sz w:val="24"/>
          <w:szCs w:val="24"/>
        </w:rPr>
      </w:pPr>
      <w:r w:rsidDel="00057A0A">
        <w:rPr>
          <w:rFonts w:ascii="Times New Roman" w:hAnsi="Times New Roman"/>
          <w:i/>
          <w:color w:val="4AA55B"/>
          <w:sz w:val="24"/>
        </w:rPr>
        <w:t xml:space="preserve"> </w:t>
      </w:r>
    </w:p>
    <w:p w14:paraId="1FC5F724" w14:textId="4B45E901" w:rsidR="00050F4E" w:rsidRPr="00134C41" w:rsidRDefault="005504C0" w:rsidP="00CD78E4">
      <w:pPr>
        <w:tabs>
          <w:tab w:val="left" w:pos="993"/>
        </w:tabs>
        <w:suppressAutoHyphens/>
        <w:spacing w:line="276" w:lineRule="auto"/>
        <w:jc w:val="both"/>
        <w:rPr>
          <w:rFonts w:ascii="Times New Roman" w:eastAsia="Calibri" w:hAnsi="Times New Roman" w:cs="Times New Roman"/>
          <w:sz w:val="24"/>
          <w:szCs w:val="24"/>
        </w:rPr>
      </w:pPr>
      <w:r>
        <w:rPr>
          <w:rFonts w:ascii="Times New Roman" w:hAnsi="Times New Roman"/>
          <w:sz w:val="24"/>
        </w:rPr>
        <w:t>Poročila udeležencev za aktivnosti skupinske mobilnosti izpolni vodilni spremljevalec v imenu celotne skupine.</w:t>
      </w:r>
    </w:p>
    <w:p w14:paraId="08A6E996" w14:textId="2DDC8BD9" w:rsidR="00050F4E" w:rsidRPr="00134C41" w:rsidRDefault="005504C0" w:rsidP="00CD78E4">
      <w:pPr>
        <w:tabs>
          <w:tab w:val="left" w:pos="993"/>
        </w:tabs>
        <w:suppressAutoHyphens/>
        <w:spacing w:line="276" w:lineRule="auto"/>
        <w:jc w:val="both"/>
        <w:rPr>
          <w:rFonts w:ascii="Times New Roman" w:eastAsia="Calibri" w:hAnsi="Times New Roman" w:cs="Times New Roman"/>
          <w:sz w:val="24"/>
          <w:szCs w:val="24"/>
        </w:rPr>
      </w:pPr>
      <w:r>
        <w:rPr>
          <w:rFonts w:ascii="Times New Roman" w:hAnsi="Times New Roman"/>
          <w:sz w:val="24"/>
        </w:rPr>
        <w:t>Od udeležencev, ki ne predložijo poročila, se lahko zahteva delno ali celotno povračilo finančnega prispevka iz programa Erasmus+.</w:t>
      </w:r>
    </w:p>
    <w:p w14:paraId="0CD01939" w14:textId="04F6E53B" w:rsidR="00050F4E" w:rsidRPr="00CD78E4" w:rsidRDefault="00CD78E4" w:rsidP="00CD78E4">
      <w:pPr>
        <w:pStyle w:val="Heading2"/>
        <w:rPr>
          <w:rFonts w:eastAsia="Calibri"/>
        </w:rPr>
      </w:pPr>
      <w:r>
        <w:t>1.3 Organizacijska podpora</w:t>
      </w:r>
    </w:p>
    <w:p w14:paraId="6B098D4D" w14:textId="42ED1577" w:rsidR="003A71BF" w:rsidRPr="00902A61" w:rsidRDefault="00050F4E" w:rsidP="00C114C7">
      <w:pPr>
        <w:pStyle w:val="ListParagraph"/>
        <w:numPr>
          <w:ilvl w:val="0"/>
          <w:numId w:val="27"/>
        </w:numPr>
        <w:suppressAutoHyphens/>
        <w:spacing w:line="276" w:lineRule="auto"/>
        <w:rPr>
          <w:rFonts w:eastAsia="Calibri"/>
          <w:szCs w:val="24"/>
          <w:u w:val="single"/>
        </w:rPr>
      </w:pPr>
      <w:r>
        <w:rPr>
          <w:u w:val="single"/>
        </w:rPr>
        <w:t>Izračun skupnega prispevka na enoto</w:t>
      </w:r>
    </w:p>
    <w:p w14:paraId="7A9BBE85" w14:textId="79E09E8D" w:rsidR="00050F4E" w:rsidRPr="00435C65" w:rsidRDefault="00165414" w:rsidP="00435C65">
      <w:pPr>
        <w:tabs>
          <w:tab w:val="left" w:pos="993"/>
        </w:tabs>
        <w:suppressAutoHyphens/>
        <w:spacing w:line="276" w:lineRule="auto"/>
        <w:jc w:val="both"/>
        <w:rPr>
          <w:rFonts w:ascii="Times New Roman" w:eastAsia="Calibri" w:hAnsi="Times New Roman" w:cs="Times New Roman"/>
          <w:sz w:val="24"/>
          <w:szCs w:val="24"/>
        </w:rPr>
      </w:pPr>
      <w:r>
        <w:rPr>
          <w:rFonts w:ascii="Times New Roman" w:hAnsi="Times New Roman"/>
          <w:sz w:val="24"/>
        </w:rPr>
        <w:t>Skupni prispevek na enoto se izračuna tako, da se skupno število udeležencev v aktivnostih mobilnosti pomnoži s prispevkom na enoto, ki se uporablja, kakor je določen v Prilogi 3 k Sporazumu. Spremljevalci  in osebe, ki sodelujejo pri pripravljalnih obiskih, se ne štejejo za udeležence aktivnosti mobilnosti in se zato ne upoštevajo pri izračunu organizacijske podpore.</w:t>
      </w:r>
    </w:p>
    <w:p w14:paraId="12089C86" w14:textId="3A006C54" w:rsidR="007A235B" w:rsidRPr="007A235B" w:rsidRDefault="0032773D" w:rsidP="00832806">
      <w:pPr>
        <w:pStyle w:val="ListParagraph"/>
        <w:numPr>
          <w:ilvl w:val="0"/>
          <w:numId w:val="27"/>
        </w:numPr>
        <w:suppressAutoHyphens/>
        <w:spacing w:line="276" w:lineRule="auto"/>
        <w:rPr>
          <w:rFonts w:eastAsia="SimSun"/>
          <w:szCs w:val="24"/>
        </w:rPr>
      </w:pPr>
      <w:r w:rsidDel="0032773D">
        <w:rPr>
          <w:i/>
          <w:color w:val="4AA55B"/>
        </w:rPr>
        <w:t xml:space="preserve"> </w:t>
      </w:r>
      <w:r w:rsidR="00050F4E">
        <w:rPr>
          <w:u w:val="single"/>
        </w:rPr>
        <w:t>Sprožilni dogodek</w:t>
      </w:r>
      <w:r w:rsidR="00050F4E">
        <w:t xml:space="preserve"> </w:t>
      </w:r>
    </w:p>
    <w:p w14:paraId="77443102" w14:textId="58F83B98" w:rsidR="00050F4E" w:rsidRPr="00134C41" w:rsidRDefault="007A235B" w:rsidP="00832806">
      <w:pPr>
        <w:tabs>
          <w:tab w:val="left" w:pos="567"/>
        </w:tabs>
        <w:suppressAutoHyphens/>
        <w:spacing w:after="200" w:line="276" w:lineRule="auto"/>
        <w:jc w:val="both"/>
        <w:rPr>
          <w:rFonts w:ascii="Times New Roman" w:eastAsia="SimSun" w:hAnsi="Times New Roman" w:cs="Times New Roman"/>
          <w:sz w:val="24"/>
          <w:szCs w:val="24"/>
        </w:rPr>
      </w:pPr>
      <w:r>
        <w:rPr>
          <w:rFonts w:ascii="Times New Roman" w:hAnsi="Times New Roman"/>
          <w:sz w:val="24"/>
        </w:rPr>
        <w:t xml:space="preserve">Organizacijska podpora se izplača le, če se je udeleženec dejansko udeležil aktivnosti. </w:t>
      </w:r>
    </w:p>
    <w:p w14:paraId="72DC7E73" w14:textId="77777777" w:rsidR="00050F4E" w:rsidRPr="007A235B" w:rsidRDefault="00050F4E" w:rsidP="00832806">
      <w:pPr>
        <w:numPr>
          <w:ilvl w:val="0"/>
          <w:numId w:val="27"/>
        </w:numPr>
        <w:suppressAutoHyphens/>
        <w:spacing w:after="200" w:line="100" w:lineRule="atLeast"/>
        <w:rPr>
          <w:rFonts w:ascii="Times New Roman" w:eastAsia="SimSun" w:hAnsi="Times New Roman" w:cs="Times New Roman"/>
          <w:sz w:val="24"/>
          <w:szCs w:val="24"/>
          <w:u w:val="single"/>
        </w:rPr>
      </w:pPr>
      <w:r>
        <w:rPr>
          <w:rFonts w:ascii="Times New Roman" w:hAnsi="Times New Roman"/>
          <w:sz w:val="24"/>
          <w:u w:val="single"/>
        </w:rPr>
        <w:t xml:space="preserve">Dokazila </w:t>
      </w:r>
    </w:p>
    <w:p w14:paraId="0EF90183" w14:textId="70625405" w:rsidR="00F450A8" w:rsidRDefault="00050F4E" w:rsidP="00832806">
      <w:pPr>
        <w:suppressAutoHyphens/>
        <w:spacing w:after="200" w:line="276" w:lineRule="auto"/>
        <w:jc w:val="both"/>
        <w:rPr>
          <w:rFonts w:ascii="Times New Roman" w:eastAsia="Calibri" w:hAnsi="Times New Roman" w:cs="Times New Roman"/>
          <w:sz w:val="24"/>
          <w:szCs w:val="24"/>
        </w:rPr>
      </w:pPr>
      <w:r>
        <w:rPr>
          <w:rFonts w:ascii="Times New Roman" w:hAnsi="Times New Roman"/>
          <w:sz w:val="24"/>
        </w:rPr>
        <w:t>Enaka dokazila, kot se zahtevajo za podporo za potne stroške (glej oddelek 1.1.c).</w:t>
      </w:r>
    </w:p>
    <w:p w14:paraId="79A330F9" w14:textId="10E7CE68" w:rsidR="00050F4E" w:rsidRPr="00241866" w:rsidDel="00CD2603" w:rsidRDefault="00050F4E" w:rsidP="00C114C7">
      <w:pPr>
        <w:pStyle w:val="ListParagraph"/>
        <w:numPr>
          <w:ilvl w:val="0"/>
          <w:numId w:val="27"/>
        </w:numPr>
        <w:suppressAutoHyphens/>
        <w:spacing w:line="276" w:lineRule="auto"/>
        <w:rPr>
          <w:rFonts w:eastAsia="Calibri"/>
          <w:szCs w:val="24"/>
        </w:rPr>
      </w:pPr>
      <w:r>
        <w:rPr>
          <w:u w:val="single"/>
        </w:rPr>
        <w:t xml:space="preserve">Poročanje </w:t>
      </w:r>
    </w:p>
    <w:p w14:paraId="6450A1E1" w14:textId="59F19281" w:rsidR="00B300FE" w:rsidRPr="00190976" w:rsidRDefault="00B300FE" w:rsidP="00B300FE">
      <w:pPr>
        <w:suppressAutoHyphens/>
        <w:spacing w:line="276" w:lineRule="auto"/>
        <w:rPr>
          <w:rFonts w:ascii="Times New Roman" w:eastAsia="Calibri" w:hAnsi="Times New Roman" w:cs="Times New Roman"/>
          <w:sz w:val="24"/>
          <w:szCs w:val="24"/>
        </w:rPr>
      </w:pPr>
      <w:r w:rsidRPr="009627FE">
        <w:rPr>
          <w:rFonts w:ascii="Times New Roman" w:hAnsi="Times New Roman"/>
          <w:sz w:val="24"/>
        </w:rPr>
        <w:t>Upravičenec mora poročati o dejanskem številu udeležencev v aktivnostih mobilnosti.</w:t>
      </w:r>
    </w:p>
    <w:p w14:paraId="19D47639" w14:textId="75A6A72B" w:rsidR="00050F4E" w:rsidRPr="00C150F9" w:rsidRDefault="008A74F7" w:rsidP="008A74F7">
      <w:pPr>
        <w:pStyle w:val="Heading2"/>
        <w:ind w:left="0" w:firstLine="0"/>
        <w:rPr>
          <w:rFonts w:ascii="Times New Roman" w:eastAsia="Calibri" w:hAnsi="Times New Roman" w:cs="Times New Roman"/>
          <w:b w:val="0"/>
          <w:bCs w:val="0"/>
          <w:szCs w:val="24"/>
        </w:rPr>
      </w:pPr>
      <w:r>
        <w:t>1.7 Podpora za vključevanje za organizacije</w:t>
      </w:r>
    </w:p>
    <w:p w14:paraId="5462B4FE" w14:textId="729AA669" w:rsidR="00F468CD" w:rsidRPr="00C150F9" w:rsidRDefault="00050F4E" w:rsidP="00C114C7">
      <w:pPr>
        <w:pStyle w:val="ListParagraph"/>
        <w:numPr>
          <w:ilvl w:val="0"/>
          <w:numId w:val="29"/>
        </w:numPr>
        <w:suppressAutoHyphens/>
        <w:spacing w:after="0" w:line="276" w:lineRule="auto"/>
        <w:ind w:left="851" w:hanging="425"/>
        <w:rPr>
          <w:rFonts w:eastAsia="SimSun"/>
          <w:szCs w:val="24"/>
          <w:u w:val="single"/>
        </w:rPr>
      </w:pPr>
      <w:r>
        <w:rPr>
          <w:u w:val="single"/>
        </w:rPr>
        <w:t xml:space="preserve">Izračun skupnega prispevka na enoto </w:t>
      </w:r>
    </w:p>
    <w:p w14:paraId="2B54F501" w14:textId="77777777" w:rsidR="00F468CD" w:rsidRPr="00C150F9" w:rsidRDefault="00F468CD" w:rsidP="00F468CD">
      <w:pPr>
        <w:suppressAutoHyphens/>
        <w:spacing w:after="0" w:line="276" w:lineRule="auto"/>
        <w:rPr>
          <w:rFonts w:eastAsia="SimSun"/>
          <w:szCs w:val="24"/>
          <w:lang w:eastAsia="ar-SA"/>
        </w:rPr>
      </w:pPr>
    </w:p>
    <w:p w14:paraId="06C830DE" w14:textId="3F1AF23B" w:rsidR="00050F4E" w:rsidRPr="00F468CD" w:rsidRDefault="00F468CD" w:rsidP="00F468CD">
      <w:pPr>
        <w:suppressAutoHyphens/>
        <w:spacing w:after="0" w:line="276" w:lineRule="auto"/>
        <w:jc w:val="both"/>
        <w:rPr>
          <w:rFonts w:ascii="Times New Roman" w:eastAsia="SimSun" w:hAnsi="Times New Roman" w:cs="Times New Roman"/>
          <w:sz w:val="24"/>
          <w:szCs w:val="24"/>
          <w:highlight w:val="yellow"/>
        </w:rPr>
      </w:pPr>
      <w:r>
        <w:rPr>
          <w:rFonts w:ascii="Times New Roman" w:hAnsi="Times New Roman"/>
          <w:sz w:val="24"/>
        </w:rPr>
        <w:t xml:space="preserve">Skupni prispevek na enoto se izračuna tako, da se skupno število udeležencev z manj priložnostmi v aktivnostih mobilnosti pomnoži s prispevkom na enoto, ki se uporablja, kakor je določen v Prilogi 3 k Sporazumu. </w:t>
      </w:r>
    </w:p>
    <w:p w14:paraId="4907650D"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76A921CF" w14:textId="77777777" w:rsidR="00F468CD" w:rsidRPr="00F468CD" w:rsidRDefault="00050F4E" w:rsidP="00C114C7">
      <w:pPr>
        <w:pStyle w:val="ListParagraph"/>
        <w:numPr>
          <w:ilvl w:val="0"/>
          <w:numId w:val="29"/>
        </w:numPr>
        <w:suppressAutoHyphens/>
        <w:spacing w:line="276" w:lineRule="auto"/>
        <w:ind w:left="709"/>
        <w:rPr>
          <w:rFonts w:eastAsia="SimSun"/>
          <w:szCs w:val="24"/>
          <w:u w:val="single"/>
        </w:rPr>
      </w:pPr>
      <w:r>
        <w:rPr>
          <w:u w:val="single"/>
        </w:rPr>
        <w:t xml:space="preserve">Sprožilni dogodek </w:t>
      </w:r>
    </w:p>
    <w:p w14:paraId="4B1DF87B" w14:textId="7B42A29E" w:rsidR="00050F4E" w:rsidRPr="0065476B" w:rsidRDefault="00F468CD" w:rsidP="007B286D">
      <w:pPr>
        <w:tabs>
          <w:tab w:val="left" w:pos="567"/>
        </w:tabs>
        <w:suppressAutoHyphens/>
        <w:spacing w:after="240" w:line="276" w:lineRule="auto"/>
        <w:jc w:val="both"/>
        <w:rPr>
          <w:rFonts w:ascii="Times New Roman" w:eastAsia="SimSun" w:hAnsi="Times New Roman" w:cs="Times New Roman"/>
          <w:sz w:val="24"/>
          <w:szCs w:val="24"/>
        </w:rPr>
      </w:pPr>
      <w:r>
        <w:rPr>
          <w:rFonts w:ascii="Times New Roman" w:hAnsi="Times New Roman"/>
          <w:sz w:val="24"/>
        </w:rPr>
        <w:lastRenderedPageBreak/>
        <w:t>Podpora za vključevanje za organizacijo se izplača le, če se je udeleženec dejansko udeležil aktivnosti</w:t>
      </w:r>
      <w:r>
        <w:t xml:space="preserve"> </w:t>
      </w:r>
    </w:p>
    <w:p w14:paraId="03E46761" w14:textId="44F05596" w:rsidR="00546C4D" w:rsidRPr="00E56D08" w:rsidRDefault="00546C4D" w:rsidP="00C114C7">
      <w:pPr>
        <w:numPr>
          <w:ilvl w:val="0"/>
          <w:numId w:val="29"/>
        </w:numPr>
        <w:suppressAutoHyphens/>
        <w:spacing w:after="120" w:line="276" w:lineRule="auto"/>
        <w:ind w:left="709" w:hanging="425"/>
        <w:jc w:val="both"/>
        <w:rPr>
          <w:rFonts w:ascii="Times New Roman" w:eastAsia="SimSun" w:hAnsi="Times New Roman" w:cs="Times New Roman"/>
          <w:sz w:val="24"/>
          <w:szCs w:val="24"/>
          <w:u w:val="single"/>
        </w:rPr>
      </w:pPr>
      <w:r>
        <w:rPr>
          <w:rFonts w:ascii="Times New Roman" w:hAnsi="Times New Roman"/>
          <w:sz w:val="24"/>
          <w:u w:val="single"/>
        </w:rPr>
        <w:t>Dokazila</w:t>
      </w:r>
    </w:p>
    <w:p w14:paraId="283EA9D2" w14:textId="3A6BAD4F" w:rsidR="00546C4D" w:rsidRPr="00134C41" w:rsidRDefault="00F22318" w:rsidP="005F36AE">
      <w:pPr>
        <w:suppressAutoHyphens/>
        <w:spacing w:after="240" w:line="276" w:lineRule="auto"/>
        <w:jc w:val="both"/>
        <w:rPr>
          <w:rFonts w:ascii="Times New Roman" w:eastAsia="Calibri" w:hAnsi="Times New Roman" w:cs="Times New Roman"/>
          <w:sz w:val="24"/>
          <w:szCs w:val="24"/>
        </w:rPr>
      </w:pPr>
      <w:r w:rsidDel="00F22318">
        <w:rPr>
          <w:rFonts w:ascii="Times New Roman" w:hAnsi="Times New Roman"/>
          <w:i/>
          <w:color w:val="4AA55B"/>
          <w:sz w:val="24"/>
        </w:rPr>
        <w:t xml:space="preserve"> </w:t>
      </w:r>
      <w:r w:rsidR="00546C4D">
        <w:rPr>
          <w:rFonts w:ascii="Times New Roman" w:hAnsi="Times New Roman"/>
          <w:sz w:val="24"/>
        </w:rPr>
        <w:t>Enaka dokazila, kot se zahtevajo za podporo za potne stroške (glej oddelek 1.1.c).</w:t>
      </w:r>
    </w:p>
    <w:p w14:paraId="444A1EB6" w14:textId="55043211" w:rsidR="00050F4E" w:rsidRPr="00DC77CF" w:rsidRDefault="00050F4E" w:rsidP="005F36AE">
      <w:pPr>
        <w:suppressAutoHyphens/>
        <w:spacing w:after="240" w:line="276" w:lineRule="auto"/>
        <w:jc w:val="both"/>
        <w:rPr>
          <w:rFonts w:ascii="Times New Roman" w:eastAsia="Calibri" w:hAnsi="Times New Roman" w:cs="Times New Roman"/>
          <w:b/>
          <w:sz w:val="24"/>
          <w:szCs w:val="24"/>
          <w:shd w:val="clear" w:color="auto" w:fill="00FFFF"/>
        </w:rPr>
      </w:pPr>
      <w:r>
        <w:rPr>
          <w:rFonts w:ascii="Times New Roman" w:hAnsi="Times New Roman"/>
          <w:color w:val="000000"/>
          <w:sz w:val="24"/>
        </w:rPr>
        <w:t>Poleg tega: dokumentacija, ki jo nacionalna agencija navede kot dopustno dokazilo, da udeleženec spada v eno od kategorij udeležencev z manj priložnosti, navedenih v Vodniku za prijavitelje.</w:t>
      </w:r>
    </w:p>
    <w:p w14:paraId="7E1D1836" w14:textId="52B9A598" w:rsidR="00050F4E" w:rsidRPr="002F37CC" w:rsidRDefault="00AF1DF9" w:rsidP="00AF1DF9">
      <w:pPr>
        <w:pStyle w:val="Heading2"/>
        <w:ind w:left="0" w:firstLine="0"/>
        <w:rPr>
          <w:rFonts w:ascii="Times New Roman" w:eastAsia="Calibri" w:hAnsi="Times New Roman" w:cs="Times New Roman"/>
          <w:szCs w:val="24"/>
        </w:rPr>
      </w:pPr>
      <w:r>
        <w:t>1.8 Jezikovna podpora</w:t>
      </w:r>
      <w:r>
        <w:rPr>
          <w:rFonts w:ascii="Times New Roman" w:hAnsi="Times New Roman"/>
        </w:rPr>
        <w:t xml:space="preserve"> </w:t>
      </w:r>
    </w:p>
    <w:p w14:paraId="322AB8F5" w14:textId="5053732E" w:rsidR="00E34B20" w:rsidRPr="00E34B20" w:rsidRDefault="00050F4E" w:rsidP="00C114C7">
      <w:pPr>
        <w:pStyle w:val="ListParagraph"/>
        <w:numPr>
          <w:ilvl w:val="0"/>
          <w:numId w:val="17"/>
        </w:numPr>
        <w:suppressAutoHyphens/>
        <w:spacing w:line="276" w:lineRule="auto"/>
        <w:rPr>
          <w:rFonts w:eastAsia="Calibri"/>
          <w:szCs w:val="24"/>
          <w:u w:val="single"/>
        </w:rPr>
      </w:pPr>
      <w:r>
        <w:rPr>
          <w:u w:val="single"/>
        </w:rPr>
        <w:t xml:space="preserve">Izračun skupnega prispevka na enoto </w:t>
      </w:r>
    </w:p>
    <w:p w14:paraId="3D36C4A8" w14:textId="79DD97C8" w:rsidR="00050F4E" w:rsidRPr="00E34B20" w:rsidRDefault="00E34B20" w:rsidP="00E34B20">
      <w:pPr>
        <w:suppressAutoHyphens/>
        <w:spacing w:line="276" w:lineRule="auto"/>
        <w:jc w:val="both"/>
        <w:rPr>
          <w:rFonts w:ascii="Times New Roman" w:eastAsia="Calibri" w:hAnsi="Times New Roman" w:cs="Times New Roman"/>
          <w:sz w:val="24"/>
          <w:szCs w:val="24"/>
        </w:rPr>
      </w:pPr>
      <w:r>
        <w:rPr>
          <w:rFonts w:ascii="Times New Roman" w:hAnsi="Times New Roman"/>
          <w:sz w:val="24"/>
        </w:rPr>
        <w:t>Skupni prispevek na enoto se izračuna tako, da se skupno število udeležencev, ki prejemajo jezikovno podporo, pomnoži s prispevkom na enoto, ki se uporablja, kakor je določen v Prilogi 3 k Sporazumu. Udeleženci, ki so prejeli spletno jezikovno podporo, so izključeni iz tega izračuna. Udeleženci dolgotrajne mobilnosti prejmejo dodatno jezikovno podporo, enakovredno istemu prispevku na enoto, kakor je določen v Prilogi 3 k Sporazumu.</w:t>
      </w:r>
    </w:p>
    <w:p w14:paraId="5AD19DF2" w14:textId="77777777" w:rsidR="00DE5A5F" w:rsidRPr="005E6644" w:rsidRDefault="00050F4E" w:rsidP="00C114C7">
      <w:pPr>
        <w:numPr>
          <w:ilvl w:val="0"/>
          <w:numId w:val="17"/>
        </w:numPr>
        <w:suppressAutoHyphens/>
        <w:spacing w:after="200" w:line="276" w:lineRule="auto"/>
        <w:ind w:left="714" w:hanging="357"/>
        <w:jc w:val="both"/>
        <w:rPr>
          <w:rFonts w:ascii="Times New Roman" w:eastAsia="Calibri" w:hAnsi="Times New Roman" w:cs="Times New Roman"/>
          <w:sz w:val="24"/>
          <w:szCs w:val="24"/>
          <w:u w:val="single"/>
        </w:rPr>
      </w:pPr>
      <w:r>
        <w:rPr>
          <w:rFonts w:ascii="Times New Roman" w:hAnsi="Times New Roman"/>
          <w:sz w:val="24"/>
          <w:u w:val="single"/>
        </w:rPr>
        <w:t xml:space="preserve">Sprožilni dogodek </w:t>
      </w:r>
    </w:p>
    <w:p w14:paraId="79233061" w14:textId="3364AED0" w:rsidR="00050F4E" w:rsidRPr="004D3699" w:rsidRDefault="00DE5A5F" w:rsidP="00DE5A5F">
      <w:pPr>
        <w:suppressAutoHyphens/>
        <w:spacing w:after="200" w:line="276" w:lineRule="auto"/>
        <w:jc w:val="both"/>
        <w:rPr>
          <w:rFonts w:ascii="Times New Roman" w:eastAsia="Calibri" w:hAnsi="Times New Roman" w:cs="Times New Roman"/>
          <w:sz w:val="24"/>
          <w:szCs w:val="24"/>
        </w:rPr>
      </w:pPr>
      <w:r>
        <w:rPr>
          <w:rFonts w:ascii="Times New Roman" w:hAnsi="Times New Roman"/>
          <w:sz w:val="24"/>
        </w:rPr>
        <w:t>Prispevek na enoto se izplača le, če se je udeleženec dejansko udeležil jezikovne priprave v jeziku poučevanja ali dela.</w:t>
      </w:r>
    </w:p>
    <w:p w14:paraId="5603E0CA" w14:textId="77777777" w:rsidR="00050F4E" w:rsidRPr="00DE5A5F" w:rsidRDefault="00050F4E" w:rsidP="00C114C7">
      <w:pPr>
        <w:numPr>
          <w:ilvl w:val="0"/>
          <w:numId w:val="17"/>
        </w:numPr>
        <w:suppressAutoHyphens/>
        <w:spacing w:after="200" w:line="276" w:lineRule="auto"/>
        <w:ind w:left="714" w:hanging="357"/>
        <w:jc w:val="both"/>
        <w:rPr>
          <w:rFonts w:ascii="Times New Roman" w:eastAsia="Calibri" w:hAnsi="Times New Roman" w:cs="Times New Roman"/>
          <w:sz w:val="24"/>
          <w:szCs w:val="24"/>
          <w:u w:val="single"/>
        </w:rPr>
      </w:pPr>
      <w:r>
        <w:rPr>
          <w:rFonts w:ascii="Times New Roman" w:hAnsi="Times New Roman"/>
          <w:sz w:val="24"/>
          <w:u w:val="single"/>
        </w:rPr>
        <w:t xml:space="preserve">Dokazila </w:t>
      </w:r>
    </w:p>
    <w:p w14:paraId="22BE2408" w14:textId="5EF36727" w:rsidR="00050F4E" w:rsidRDefault="00DE5A5F" w:rsidP="00DE5A5F">
      <w:pPr>
        <w:suppressAutoHyphens/>
        <w:spacing w:after="200" w:line="276" w:lineRule="auto"/>
        <w:jc w:val="both"/>
        <w:rPr>
          <w:rFonts w:ascii="Times New Roman" w:eastAsia="Calibri" w:hAnsi="Times New Roman" w:cs="Times New Roman"/>
          <w:sz w:val="24"/>
          <w:szCs w:val="24"/>
        </w:rPr>
      </w:pPr>
      <w:r>
        <w:rPr>
          <w:rFonts w:ascii="Times New Roman" w:hAnsi="Times New Roman"/>
          <w:sz w:val="24"/>
        </w:rPr>
        <w:t>Dokazilo o udeležbi na jezikovnih tečajih v obliki izjave ali potrdila, ki jo/ga podpiše izvajalec tečaja in v kateri/katerem so navedeni ime udeleženca, poučevani jezik ter oblika in trajanje izvedenih tečajev, ali če jezikovno usposabljanje zagotovi organizacija pošiljateljica ali organizacija gostiteljica: izjava, ki jo podpiše in datira organizacija, ki izvede usposabljanje, in v kateri so navedeni ime udeleženca, poučevani jezik ter oblika in trajanje izvedenega jezikovnega usposabljanja.</w:t>
      </w:r>
    </w:p>
    <w:p w14:paraId="17723254" w14:textId="5B6C65F6" w:rsidR="00050F4E" w:rsidRPr="000F6C3D" w:rsidRDefault="0010240A" w:rsidP="00AF1DF9">
      <w:pPr>
        <w:pStyle w:val="Heading2"/>
        <w:ind w:left="0" w:firstLine="0"/>
        <w:rPr>
          <w:rFonts w:ascii="Times New Roman" w:eastAsia="Calibri" w:hAnsi="Times New Roman" w:cs="Times New Roman"/>
          <w:b w:val="0"/>
          <w:bCs w:val="0"/>
          <w:szCs w:val="24"/>
        </w:rPr>
      </w:pPr>
      <w:r w:rsidRPr="005D5AA4" w:rsidDel="00311363">
        <w:rPr>
          <w:rFonts w:ascii="Times New Roman" w:hAnsi="Times New Roman"/>
          <w:i/>
          <w:color w:val="4AA55B"/>
        </w:rPr>
        <w:t xml:space="preserve"> </w:t>
      </w:r>
      <w:r w:rsidR="00AF1DF9" w:rsidRPr="005D5AA4">
        <w:t>1.10 Pripravljalni obiski</w:t>
      </w:r>
    </w:p>
    <w:p w14:paraId="5B18A8C7" w14:textId="3808753E" w:rsidR="00B60017" w:rsidRPr="00B60017" w:rsidRDefault="00050F4E" w:rsidP="00C114C7">
      <w:pPr>
        <w:pStyle w:val="ListParagraph"/>
        <w:numPr>
          <w:ilvl w:val="0"/>
          <w:numId w:val="31"/>
        </w:numPr>
        <w:suppressAutoHyphens/>
        <w:spacing w:line="276" w:lineRule="auto"/>
        <w:rPr>
          <w:rFonts w:eastAsia="SimSun"/>
          <w:szCs w:val="24"/>
          <w:u w:val="single"/>
        </w:rPr>
      </w:pPr>
      <w:r>
        <w:rPr>
          <w:u w:val="single"/>
        </w:rPr>
        <w:t>Izračun skupnega prispevka na enoto</w:t>
      </w:r>
    </w:p>
    <w:p w14:paraId="13017D36" w14:textId="6BD861D8" w:rsidR="00050F4E" w:rsidRPr="00B60017" w:rsidRDefault="00B60017" w:rsidP="00B60017">
      <w:pPr>
        <w:suppressAutoHyphens/>
        <w:spacing w:after="0" w:line="276" w:lineRule="auto"/>
        <w:jc w:val="both"/>
        <w:rPr>
          <w:rFonts w:ascii="Times New Roman" w:eastAsia="SimSun" w:hAnsi="Times New Roman" w:cs="Times New Roman"/>
          <w:sz w:val="24"/>
          <w:szCs w:val="24"/>
        </w:rPr>
      </w:pPr>
      <w:r>
        <w:rPr>
          <w:rFonts w:ascii="Times New Roman" w:hAnsi="Times New Roman"/>
          <w:sz w:val="24"/>
        </w:rPr>
        <w:t xml:space="preserve">Skupni prispevek na enoto se izračuna tako, da se skupno število oseb, udeleženih v pripravljalnih obiskih, pomnoži s prispevkom na enoto, ki se uporablja, kakor je določen v Prilogi 3 k Sporazumu. </w:t>
      </w:r>
    </w:p>
    <w:p w14:paraId="3B2D390A"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0ED2FA17" w14:textId="77777777" w:rsidR="00B60017" w:rsidRPr="00B60017" w:rsidRDefault="00050F4E" w:rsidP="00C114C7">
      <w:pPr>
        <w:pStyle w:val="ListParagraph"/>
        <w:numPr>
          <w:ilvl w:val="0"/>
          <w:numId w:val="31"/>
        </w:numPr>
        <w:suppressAutoHyphens/>
        <w:spacing w:line="276" w:lineRule="auto"/>
        <w:rPr>
          <w:rFonts w:eastAsia="SimSun"/>
          <w:szCs w:val="24"/>
          <w:shd w:val="clear" w:color="auto" w:fill="00FFFF"/>
        </w:rPr>
      </w:pPr>
      <w:r>
        <w:rPr>
          <w:u w:val="single"/>
        </w:rPr>
        <w:t>Sprožilni dogodek</w:t>
      </w:r>
      <w:r>
        <w:t xml:space="preserve"> </w:t>
      </w:r>
    </w:p>
    <w:p w14:paraId="6FD77880" w14:textId="2CE3A249" w:rsidR="00050F4E" w:rsidRPr="0065476B" w:rsidRDefault="00B60017" w:rsidP="00F97BD5">
      <w:pPr>
        <w:suppressAutoHyphens/>
        <w:spacing w:line="276" w:lineRule="auto"/>
        <w:jc w:val="both"/>
        <w:rPr>
          <w:rFonts w:ascii="Times New Roman" w:eastAsia="SimSun" w:hAnsi="Times New Roman" w:cs="Times New Roman"/>
          <w:sz w:val="24"/>
          <w:szCs w:val="24"/>
          <w:shd w:val="clear" w:color="auto" w:fill="00FFFF"/>
        </w:rPr>
      </w:pPr>
      <w:r>
        <w:rPr>
          <w:rFonts w:ascii="Times New Roman" w:hAnsi="Times New Roman"/>
          <w:sz w:val="24"/>
        </w:rPr>
        <w:lastRenderedPageBreak/>
        <w:t>Prispevek na enoto za pripravljalni obisk se izplača le, če se je udeleženec dejansko udeležil pripravljalnega obiska.</w:t>
      </w:r>
    </w:p>
    <w:p w14:paraId="129C6185" w14:textId="77777777" w:rsidR="00791FB8" w:rsidRPr="00791FB8" w:rsidRDefault="00050F4E" w:rsidP="00C114C7">
      <w:pPr>
        <w:numPr>
          <w:ilvl w:val="0"/>
          <w:numId w:val="31"/>
        </w:numPr>
        <w:suppressAutoHyphens/>
        <w:spacing w:after="200" w:line="276" w:lineRule="auto"/>
        <w:jc w:val="both"/>
        <w:rPr>
          <w:rFonts w:ascii="Times New Roman" w:eastAsia="SimSun" w:hAnsi="Times New Roman" w:cs="Times New Roman"/>
          <w:sz w:val="24"/>
          <w:szCs w:val="24"/>
        </w:rPr>
      </w:pPr>
      <w:r>
        <w:rPr>
          <w:rFonts w:ascii="Times New Roman" w:hAnsi="Times New Roman"/>
          <w:sz w:val="24"/>
          <w:u w:val="single"/>
        </w:rPr>
        <w:t>Dokazila</w:t>
      </w:r>
      <w:r>
        <w:rPr>
          <w:rFonts w:ascii="Times New Roman" w:hAnsi="Times New Roman"/>
          <w:sz w:val="24"/>
        </w:rPr>
        <w:t xml:space="preserve"> </w:t>
      </w:r>
    </w:p>
    <w:p w14:paraId="3836AD74" w14:textId="2EC469CC" w:rsidR="00050F4E" w:rsidRPr="0065476B" w:rsidRDefault="00791FB8" w:rsidP="00791FB8">
      <w:pPr>
        <w:suppressAutoHyphens/>
        <w:spacing w:after="0" w:line="276" w:lineRule="auto"/>
        <w:jc w:val="both"/>
        <w:rPr>
          <w:rFonts w:ascii="Times New Roman" w:eastAsia="SimSun" w:hAnsi="Times New Roman" w:cs="Times New Roman"/>
          <w:sz w:val="24"/>
          <w:szCs w:val="24"/>
        </w:rPr>
      </w:pPr>
      <w:r>
        <w:rPr>
          <w:rFonts w:ascii="Times New Roman" w:hAnsi="Times New Roman"/>
          <w:color w:val="000000"/>
          <w:sz w:val="24"/>
        </w:rPr>
        <w:t xml:space="preserve">Dokazilo o udeležbi v pripravljalnem obisku v obliki opravljenega programa, ki vključuje imena oseb, ki so se udeležile obiska, in ki ga podpišejo te osebe in organizacija gostiteljica. </w:t>
      </w:r>
    </w:p>
    <w:p w14:paraId="24A904CC" w14:textId="2A667C3E" w:rsidR="00050F4E" w:rsidRPr="00DB7C89" w:rsidRDefault="00AF1DF9" w:rsidP="00C114C7">
      <w:pPr>
        <w:pStyle w:val="Heading1"/>
        <w:numPr>
          <w:ilvl w:val="0"/>
          <w:numId w:val="36"/>
        </w:numPr>
        <w:rPr>
          <w:rFonts w:eastAsia="Calibri"/>
        </w:rPr>
      </w:pPr>
      <w:r>
        <w:t>Dejanski stroški</w:t>
      </w:r>
    </w:p>
    <w:p w14:paraId="423CAFB3" w14:textId="671ABB84" w:rsidR="00050F4E" w:rsidRPr="00525EBE" w:rsidRDefault="00BD6D07" w:rsidP="00F56939">
      <w:pPr>
        <w:pStyle w:val="Heading2"/>
        <w:rPr>
          <w:rFonts w:eastAsia="Calibri" w:cs="Times New Roman"/>
          <w:szCs w:val="24"/>
          <w:u w:val="single"/>
        </w:rPr>
      </w:pPr>
      <w:r>
        <w:t>2.1 Podpora za vključevanje za udeležence</w:t>
      </w:r>
    </w:p>
    <w:p w14:paraId="67AA595A" w14:textId="77777777" w:rsidR="00151501" w:rsidRPr="00151501" w:rsidRDefault="00151501" w:rsidP="00C114C7">
      <w:pPr>
        <w:pStyle w:val="ListParagraph"/>
        <w:numPr>
          <w:ilvl w:val="0"/>
          <w:numId w:val="18"/>
        </w:numPr>
        <w:suppressAutoHyphens/>
        <w:spacing w:line="276" w:lineRule="auto"/>
        <w:rPr>
          <w:rFonts w:eastAsia="Calibri"/>
          <w:szCs w:val="24"/>
        </w:rPr>
      </w:pPr>
      <w:r>
        <w:rPr>
          <w:u w:val="single"/>
        </w:rPr>
        <w:t>Izračun zneska nepovratnih sredstev</w:t>
      </w:r>
    </w:p>
    <w:p w14:paraId="30A51A24" w14:textId="395D4628" w:rsidR="00151501" w:rsidRDefault="00151501" w:rsidP="00151501">
      <w:pPr>
        <w:tabs>
          <w:tab w:val="left" w:pos="0"/>
        </w:tabs>
        <w:suppressAutoHyphens/>
        <w:spacing w:line="276" w:lineRule="auto"/>
        <w:jc w:val="both"/>
        <w:rPr>
          <w:rFonts w:ascii="Times New Roman" w:eastAsia="Calibri" w:hAnsi="Times New Roman" w:cs="Times New Roman"/>
          <w:sz w:val="24"/>
          <w:szCs w:val="24"/>
        </w:rPr>
      </w:pPr>
      <w:r>
        <w:rPr>
          <w:rFonts w:ascii="Times New Roman" w:hAnsi="Times New Roman"/>
          <w:sz w:val="24"/>
        </w:rPr>
        <w:t>Nepovratna sredstva so povračilo 100 % upravičenih stroškov, ki so dejansko nastali.</w:t>
      </w:r>
    </w:p>
    <w:p w14:paraId="563BC1E4" w14:textId="7ED211AB" w:rsidR="00F56939" w:rsidRDefault="00050F4E" w:rsidP="00151501">
      <w:pPr>
        <w:tabs>
          <w:tab w:val="left" w:pos="851"/>
        </w:tabs>
        <w:suppressAutoHyphens/>
        <w:spacing w:line="276" w:lineRule="auto"/>
        <w:ind w:left="851" w:hanging="425"/>
        <w:jc w:val="both"/>
        <w:rPr>
          <w:rFonts w:ascii="Times New Roman" w:eastAsia="Calibri" w:hAnsi="Times New Roman" w:cs="Times New Roman"/>
          <w:sz w:val="24"/>
          <w:szCs w:val="24"/>
        </w:rPr>
      </w:pPr>
      <w:r>
        <w:rPr>
          <w:rFonts w:ascii="Times New Roman" w:hAnsi="Times New Roman"/>
          <w:sz w:val="24"/>
        </w:rPr>
        <w:t xml:space="preserve">b) </w:t>
      </w:r>
      <w:r>
        <w:rPr>
          <w:rFonts w:ascii="Times New Roman" w:hAnsi="Times New Roman"/>
          <w:sz w:val="24"/>
          <w:u w:val="single"/>
        </w:rPr>
        <w:t>Upravičeni stroški</w:t>
      </w:r>
      <w:r>
        <w:rPr>
          <w:rFonts w:ascii="Times New Roman" w:hAnsi="Times New Roman"/>
          <w:sz w:val="24"/>
        </w:rPr>
        <w:t xml:space="preserve"> </w:t>
      </w:r>
    </w:p>
    <w:p w14:paraId="0D9C9297" w14:textId="1D038A34" w:rsidR="00050F4E" w:rsidRPr="0028078F" w:rsidRDefault="00DB06A3" w:rsidP="00DB06A3">
      <w:pPr>
        <w:tabs>
          <w:tab w:val="left" w:pos="0"/>
        </w:tabs>
        <w:suppressAutoHyphens/>
        <w:spacing w:line="276" w:lineRule="auto"/>
        <w:ind w:left="709"/>
        <w:jc w:val="both"/>
        <w:rPr>
          <w:rFonts w:ascii="Times New Roman" w:eastAsia="Calibri" w:hAnsi="Times New Roman" w:cs="Times New Roman"/>
          <w:sz w:val="24"/>
          <w:szCs w:val="24"/>
        </w:rPr>
      </w:pPr>
      <w:r>
        <w:rPr>
          <w:rFonts w:ascii="Times New Roman" w:hAnsi="Times New Roman"/>
          <w:sz w:val="24"/>
        </w:rPr>
        <w:t>Stroški, neposredno povezani z udeleženci z manj priložnostmi in njihovimi spremljevalci. Če udeleženec v okviru te proračunske kategorije zahteva povračilo potnih stroškov in individualne podpore, za ti kategoriji za istega udeleženca ni mogoče zahtevati prispevka na enoto.</w:t>
      </w:r>
    </w:p>
    <w:p w14:paraId="31FB74A5" w14:textId="77777777" w:rsidR="00050F4E" w:rsidRPr="00134C41" w:rsidRDefault="00050F4E" w:rsidP="0028078F">
      <w:pPr>
        <w:tabs>
          <w:tab w:val="left" w:pos="709"/>
        </w:tabs>
        <w:suppressAutoHyphens/>
        <w:spacing w:after="0" w:line="276" w:lineRule="auto"/>
        <w:ind w:left="851"/>
        <w:jc w:val="both"/>
        <w:rPr>
          <w:rFonts w:ascii="Times New Roman" w:eastAsia="SimSun" w:hAnsi="Times New Roman" w:cs="Times New Roman"/>
          <w:sz w:val="24"/>
          <w:szCs w:val="24"/>
          <w:lang w:eastAsia="ar-SA"/>
        </w:rPr>
      </w:pPr>
    </w:p>
    <w:p w14:paraId="0764B183" w14:textId="58850BFE" w:rsidR="00DB06A3" w:rsidRPr="00DB06A3" w:rsidRDefault="00050F4E" w:rsidP="00C114C7">
      <w:pPr>
        <w:pStyle w:val="ListParagraph"/>
        <w:numPr>
          <w:ilvl w:val="0"/>
          <w:numId w:val="31"/>
        </w:numPr>
        <w:tabs>
          <w:tab w:val="left" w:pos="709"/>
        </w:tabs>
        <w:suppressAutoHyphens/>
        <w:spacing w:line="276" w:lineRule="auto"/>
        <w:rPr>
          <w:rFonts w:eastAsia="Calibri"/>
          <w:szCs w:val="24"/>
        </w:rPr>
      </w:pPr>
      <w:r>
        <w:rPr>
          <w:u w:val="single"/>
        </w:rPr>
        <w:t>Dokazila</w:t>
      </w:r>
      <w:r>
        <w:t xml:space="preserve"> </w:t>
      </w:r>
    </w:p>
    <w:p w14:paraId="16B6A460" w14:textId="515D91A1" w:rsidR="00050F4E" w:rsidRPr="00134C41" w:rsidRDefault="00050F4E" w:rsidP="00DB06A3">
      <w:pPr>
        <w:tabs>
          <w:tab w:val="left" w:pos="709"/>
        </w:tabs>
        <w:suppressAutoHyphens/>
        <w:spacing w:line="276" w:lineRule="auto"/>
        <w:jc w:val="both"/>
        <w:rPr>
          <w:rFonts w:ascii="Times New Roman" w:eastAsia="Calibri" w:hAnsi="Times New Roman" w:cs="Times New Roman"/>
          <w:sz w:val="24"/>
          <w:szCs w:val="24"/>
        </w:rPr>
      </w:pPr>
      <w:r>
        <w:rPr>
          <w:rFonts w:ascii="Times New Roman" w:hAnsi="Times New Roman"/>
          <w:sz w:val="24"/>
        </w:rPr>
        <w:t>Dokazilo o plačilu povezanih stroškov na podlagi računov, na katerih so navedeni ime in naslov organa, ki je izdal račun, znesek in valuta, datum računa, ter če je ustrezno, dokumentacija, ki jo podpiše organizacija gostiteljica ter v kateri je naveden začetni in končni datum bivanja spremljevalca.</w:t>
      </w:r>
    </w:p>
    <w:p w14:paraId="7A9D6FFF" w14:textId="77777777" w:rsidR="00151501" w:rsidRDefault="00050F4E" w:rsidP="00C114C7">
      <w:pPr>
        <w:pStyle w:val="ListParagraph"/>
        <w:numPr>
          <w:ilvl w:val="0"/>
          <w:numId w:val="31"/>
        </w:numPr>
        <w:tabs>
          <w:tab w:val="left" w:pos="709"/>
        </w:tabs>
        <w:suppressAutoHyphens/>
        <w:spacing w:line="276" w:lineRule="auto"/>
        <w:rPr>
          <w:rFonts w:eastAsia="Calibri"/>
          <w:szCs w:val="24"/>
        </w:rPr>
      </w:pPr>
      <w:r>
        <w:rPr>
          <w:u w:val="single"/>
        </w:rPr>
        <w:t>Poročanje</w:t>
      </w:r>
      <w:r>
        <w:t xml:space="preserve"> </w:t>
      </w:r>
    </w:p>
    <w:p w14:paraId="77CCC6D2" w14:textId="7510B6DE" w:rsidR="00050F4E" w:rsidRPr="00134C41" w:rsidRDefault="00151501" w:rsidP="00151501">
      <w:pPr>
        <w:tabs>
          <w:tab w:val="left" w:pos="709"/>
        </w:tabs>
        <w:suppressAutoHyphens/>
        <w:spacing w:line="276" w:lineRule="auto"/>
        <w:jc w:val="both"/>
        <w:rPr>
          <w:rFonts w:ascii="Times New Roman" w:eastAsia="Calibri" w:hAnsi="Times New Roman" w:cs="Times New Roman"/>
          <w:sz w:val="24"/>
          <w:szCs w:val="24"/>
        </w:rPr>
      </w:pPr>
      <w:r>
        <w:rPr>
          <w:rFonts w:ascii="Times New Roman" w:hAnsi="Times New Roman"/>
          <w:sz w:val="24"/>
        </w:rPr>
        <w:t xml:space="preserve">Upravičenec mora za vsako stroškovno postavko v tej proračunski kategoriji navesti naravo stroškov in dejanski znesek nastalih stroškov. </w:t>
      </w:r>
    </w:p>
    <w:p w14:paraId="347FB32E" w14:textId="2250D392" w:rsidR="00050F4E" w:rsidRPr="00151501" w:rsidRDefault="00050F4E" w:rsidP="00C114C7">
      <w:pPr>
        <w:pStyle w:val="Heading2"/>
        <w:numPr>
          <w:ilvl w:val="1"/>
          <w:numId w:val="36"/>
        </w:numPr>
        <w:ind w:left="426" w:hanging="284"/>
        <w:rPr>
          <w:rFonts w:eastAsia="Calibri"/>
        </w:rPr>
      </w:pPr>
      <w:r>
        <w:t>Izredni stroški</w:t>
      </w:r>
    </w:p>
    <w:p w14:paraId="44F63A9D" w14:textId="545B3821" w:rsidR="00151501" w:rsidRPr="00151501" w:rsidRDefault="00050F4E" w:rsidP="00C114C7">
      <w:pPr>
        <w:pStyle w:val="ListParagraph"/>
        <w:numPr>
          <w:ilvl w:val="0"/>
          <w:numId w:val="33"/>
        </w:numPr>
        <w:suppressAutoHyphens/>
        <w:spacing w:line="276" w:lineRule="auto"/>
        <w:rPr>
          <w:rFonts w:eastAsia="Calibri"/>
          <w:szCs w:val="24"/>
        </w:rPr>
      </w:pPr>
      <w:r>
        <w:rPr>
          <w:u w:val="single"/>
        </w:rPr>
        <w:t>Izračun zneska nepovratnih sredstev</w:t>
      </w:r>
    </w:p>
    <w:p w14:paraId="2209B478" w14:textId="4D18A92E" w:rsidR="00050F4E" w:rsidRPr="00134C41" w:rsidRDefault="00151501" w:rsidP="00151501">
      <w:pPr>
        <w:suppressAutoHyphens/>
        <w:spacing w:line="276" w:lineRule="auto"/>
        <w:jc w:val="both"/>
        <w:rPr>
          <w:rFonts w:ascii="Times New Roman" w:eastAsia="Calibri" w:hAnsi="Times New Roman" w:cs="Times New Roman"/>
          <w:sz w:val="24"/>
          <w:szCs w:val="24"/>
        </w:rPr>
      </w:pPr>
      <w:r>
        <w:rPr>
          <w:rFonts w:ascii="Times New Roman" w:hAnsi="Times New Roman"/>
          <w:sz w:val="24"/>
        </w:rPr>
        <w:t>Nepovratna sredstva so povračilo 80 % naslednjih upravičenih stroškov, ki so dejansko nastali</w:t>
      </w:r>
      <w:r w:rsidRPr="005D5AA4">
        <w:rPr>
          <w:rFonts w:ascii="Times New Roman" w:hAnsi="Times New Roman"/>
          <w:sz w:val="24"/>
          <w:highlight w:val="green"/>
        </w:rPr>
        <w:t>,</w:t>
      </w:r>
      <w:r>
        <w:rPr>
          <w:rFonts w:ascii="Times New Roman" w:hAnsi="Times New Roman"/>
          <w:sz w:val="24"/>
        </w:rPr>
        <w:t xml:space="preserve"> razen stroškov, povezanih z vizumi, dovoljenji za prebivanje, cepljenji in zdravniškimi potrdili, ki se povrnejo v višini 100 %.</w:t>
      </w:r>
    </w:p>
    <w:p w14:paraId="695D2161" w14:textId="77777777" w:rsidR="00050F4E" w:rsidRPr="00151501" w:rsidRDefault="00050F4E" w:rsidP="00C114C7">
      <w:pPr>
        <w:numPr>
          <w:ilvl w:val="0"/>
          <w:numId w:val="18"/>
        </w:numPr>
        <w:suppressAutoHyphens/>
        <w:spacing w:after="200" w:line="276" w:lineRule="auto"/>
        <w:jc w:val="both"/>
        <w:rPr>
          <w:rFonts w:ascii="Times New Roman" w:eastAsia="Calibri" w:hAnsi="Times New Roman" w:cs="Times New Roman"/>
          <w:sz w:val="24"/>
          <w:szCs w:val="24"/>
          <w:u w:val="single"/>
        </w:rPr>
      </w:pPr>
      <w:r>
        <w:rPr>
          <w:rFonts w:ascii="Times New Roman" w:hAnsi="Times New Roman"/>
          <w:sz w:val="24"/>
          <w:u w:val="single"/>
        </w:rPr>
        <w:t xml:space="preserve">Upravičeni stroški </w:t>
      </w:r>
    </w:p>
    <w:p w14:paraId="21F3D120" w14:textId="10D3057B" w:rsidR="00050F4E" w:rsidRPr="00DC77CF" w:rsidRDefault="00050F4E" w:rsidP="00C114C7">
      <w:pPr>
        <w:pStyle w:val="ListParagraph"/>
        <w:numPr>
          <w:ilvl w:val="0"/>
          <w:numId w:val="34"/>
        </w:numPr>
        <w:spacing w:line="276" w:lineRule="auto"/>
        <w:rPr>
          <w:rFonts w:eastAsia="SimSun"/>
        </w:rPr>
      </w:pPr>
      <w:r>
        <w:lastRenderedPageBreak/>
        <w:t xml:space="preserve">Stroški, povezani z jamstvom za predhodno financiranje, ki ga predloži upravičenec, kadar tako jamstvo zahteva nacionalna agencija, kakor je določeno v podatkovnem listu (glej točko 4).  </w:t>
      </w:r>
    </w:p>
    <w:p w14:paraId="4F0FBFCC" w14:textId="61ADD083" w:rsidR="00050F4E" w:rsidRPr="00134C41" w:rsidRDefault="00BC77D8" w:rsidP="00C114C7">
      <w:pPr>
        <w:pStyle w:val="ListParagraph"/>
        <w:numPr>
          <w:ilvl w:val="0"/>
          <w:numId w:val="34"/>
        </w:numPr>
        <w:spacing w:line="276" w:lineRule="auto"/>
        <w:rPr>
          <w:rFonts w:eastAsia="SimSun"/>
        </w:rPr>
      </w:pPr>
      <w:r>
        <w:t>Dragi</w:t>
      </w:r>
      <w:r w:rsidR="0075402E">
        <w:t xml:space="preserve"> potni stroški: stroški najvarčnejšega in najučinkovitejšega načina potovanja, če prispevek na enoto ne pokrije vsaj 70 % potnih stroškov. Izredni stroški za drago potovanje nadomeščajo podporo za potne stroške. </w:t>
      </w:r>
    </w:p>
    <w:p w14:paraId="23275032" w14:textId="60F98EBE" w:rsidR="00050F4E" w:rsidRPr="00134C41" w:rsidRDefault="00050F4E" w:rsidP="00C114C7">
      <w:pPr>
        <w:pStyle w:val="ListParagraph"/>
        <w:numPr>
          <w:ilvl w:val="0"/>
          <w:numId w:val="34"/>
        </w:numPr>
        <w:suppressAutoHyphens/>
        <w:spacing w:after="0" w:line="276" w:lineRule="auto"/>
        <w:rPr>
          <w:rFonts w:eastAsia="SimSun"/>
          <w:szCs w:val="24"/>
        </w:rPr>
      </w:pPr>
      <w:r>
        <w:t>Vizumi in z njimi povezani stroški, dovoljenja za prebivanje, cepljenja, zdravniška spričevala:</w:t>
      </w:r>
    </w:p>
    <w:p w14:paraId="363C6621" w14:textId="77777777" w:rsidR="00050F4E" w:rsidRPr="00134C41" w:rsidRDefault="00050F4E" w:rsidP="00DC77CF">
      <w:pPr>
        <w:suppressAutoHyphens/>
        <w:spacing w:after="0" w:line="276" w:lineRule="auto"/>
        <w:ind w:left="720"/>
        <w:jc w:val="both"/>
        <w:rPr>
          <w:rFonts w:ascii="Times New Roman" w:eastAsia="SimSun" w:hAnsi="Times New Roman" w:cs="Times New Roman"/>
          <w:sz w:val="24"/>
          <w:szCs w:val="24"/>
          <w:lang w:eastAsia="ar-SA"/>
        </w:rPr>
      </w:pPr>
    </w:p>
    <w:p w14:paraId="5CE99B64" w14:textId="77777777" w:rsidR="00050F4E" w:rsidRPr="009D67F6" w:rsidRDefault="00050F4E" w:rsidP="00C114C7">
      <w:pPr>
        <w:numPr>
          <w:ilvl w:val="0"/>
          <w:numId w:val="18"/>
        </w:numPr>
        <w:suppressAutoHyphens/>
        <w:spacing w:after="0" w:line="276" w:lineRule="auto"/>
        <w:jc w:val="both"/>
        <w:rPr>
          <w:rFonts w:ascii="Times New Roman" w:eastAsia="SimSun" w:hAnsi="Times New Roman" w:cs="Times New Roman"/>
          <w:sz w:val="24"/>
          <w:szCs w:val="24"/>
          <w:u w:val="single"/>
        </w:rPr>
      </w:pPr>
      <w:r>
        <w:rPr>
          <w:rFonts w:ascii="Times New Roman" w:hAnsi="Times New Roman"/>
          <w:sz w:val="24"/>
          <w:u w:val="single"/>
        </w:rPr>
        <w:t>Dokazila</w:t>
      </w:r>
    </w:p>
    <w:p w14:paraId="08FB368E" w14:textId="77777777" w:rsidR="00050F4E" w:rsidRPr="00134C41" w:rsidRDefault="00050F4E" w:rsidP="00DC77CF">
      <w:pPr>
        <w:suppressAutoHyphens/>
        <w:spacing w:after="0" w:line="276" w:lineRule="auto"/>
        <w:ind w:left="360"/>
        <w:jc w:val="both"/>
        <w:rPr>
          <w:rFonts w:ascii="Times New Roman" w:eastAsia="SimSun" w:hAnsi="Times New Roman" w:cs="Times New Roman"/>
          <w:sz w:val="24"/>
          <w:szCs w:val="24"/>
          <w:lang w:eastAsia="ar-SA"/>
        </w:rPr>
      </w:pPr>
    </w:p>
    <w:p w14:paraId="2868964B" w14:textId="77777777" w:rsidR="00050F4E" w:rsidRPr="00134C41" w:rsidRDefault="00050F4E" w:rsidP="009D67F6">
      <w:pPr>
        <w:suppressAutoHyphens/>
        <w:spacing w:after="0" w:line="276" w:lineRule="auto"/>
        <w:jc w:val="both"/>
        <w:rPr>
          <w:rFonts w:ascii="Times New Roman" w:eastAsia="SimSun" w:hAnsi="Times New Roman" w:cs="Times New Roman"/>
          <w:sz w:val="24"/>
          <w:szCs w:val="24"/>
        </w:rPr>
      </w:pPr>
      <w:r>
        <w:rPr>
          <w:rFonts w:ascii="Times New Roman" w:hAnsi="Times New Roman"/>
          <w:sz w:val="24"/>
        </w:rPr>
        <w:t xml:space="preserve">Dokazilo o stroških finančnega jamstva, ki ga izda organ, ki je upravičencu zagotovil jamstvo, in na katerem so navedeni ime in naslov organa, ki je izdal finančno jamstvo, znesek in valuta stroškov jamstva ter datum in podpis pravnega zastopnika organa, ki je izdal jamstvo. </w:t>
      </w:r>
    </w:p>
    <w:p w14:paraId="4F5A7145" w14:textId="77777777" w:rsidR="00050F4E" w:rsidRPr="00134C41" w:rsidRDefault="00050F4E" w:rsidP="00134C41">
      <w:pPr>
        <w:suppressAutoHyphens/>
        <w:spacing w:after="0" w:line="276" w:lineRule="auto"/>
        <w:ind w:left="1134"/>
        <w:jc w:val="both"/>
        <w:rPr>
          <w:rFonts w:ascii="Times New Roman" w:eastAsia="SimSun" w:hAnsi="Times New Roman" w:cs="Times New Roman"/>
          <w:sz w:val="24"/>
          <w:szCs w:val="24"/>
          <w:lang w:eastAsia="ar-SA"/>
        </w:rPr>
      </w:pPr>
    </w:p>
    <w:p w14:paraId="04A69606" w14:textId="2C146ABD" w:rsidR="000D69AE" w:rsidRDefault="00050F4E" w:rsidP="000D69AE">
      <w:pPr>
        <w:suppressAutoHyphens/>
        <w:spacing w:after="200" w:line="276" w:lineRule="auto"/>
        <w:jc w:val="both"/>
        <w:rPr>
          <w:rFonts w:ascii="Times New Roman" w:eastAsia="SimSun" w:hAnsi="Times New Roman" w:cs="Times New Roman"/>
          <w:sz w:val="24"/>
          <w:szCs w:val="24"/>
        </w:rPr>
      </w:pPr>
      <w:r>
        <w:rPr>
          <w:rFonts w:ascii="Times New Roman" w:hAnsi="Times New Roman"/>
          <w:sz w:val="24"/>
        </w:rPr>
        <w:t>V primeru visokih potnih stroškov: dokazilo o plačilu povezanih stroškov na podlagi računov, na katerih so navedeni ime in naslov organa, ki je izdal račun, znesek in valuta, datum računa ter potek poti.</w:t>
      </w:r>
    </w:p>
    <w:p w14:paraId="38B1BD48" w14:textId="7D04D308" w:rsidR="00050F4E" w:rsidRDefault="00050F4E" w:rsidP="0087743F">
      <w:pPr>
        <w:suppressAutoHyphens/>
        <w:spacing w:after="0" w:line="276" w:lineRule="auto"/>
        <w:jc w:val="both"/>
        <w:rPr>
          <w:rFonts w:ascii="Times New Roman" w:eastAsia="SimSun" w:hAnsi="Times New Roman" w:cs="Times New Roman"/>
          <w:sz w:val="24"/>
          <w:szCs w:val="24"/>
        </w:rPr>
      </w:pPr>
      <w:r>
        <w:rPr>
          <w:rFonts w:ascii="Times New Roman" w:hAnsi="Times New Roman"/>
          <w:sz w:val="24"/>
        </w:rPr>
        <w:t>V primeru potnih stroškov, povezanih z vizumi, dovoljenji za prebivanje, cepljenji in zdravniškimi potrdili: dokazilo o plačilu povezanih stroškov na podlagi računov, na katerih so navedeni ime in naslov organa, ki je izdal račun, znesek in valuta ter datum računa.</w:t>
      </w:r>
    </w:p>
    <w:p w14:paraId="3CDACE0E" w14:textId="77777777" w:rsidR="0087743F" w:rsidRPr="00134C41" w:rsidRDefault="0087743F" w:rsidP="0087743F">
      <w:pPr>
        <w:suppressAutoHyphens/>
        <w:spacing w:after="0" w:line="276" w:lineRule="auto"/>
        <w:jc w:val="both"/>
        <w:rPr>
          <w:rFonts w:ascii="Times New Roman" w:eastAsia="Calibri" w:hAnsi="Times New Roman" w:cs="Times New Roman"/>
          <w:sz w:val="24"/>
          <w:szCs w:val="24"/>
          <w:lang w:eastAsia="ar-SA"/>
        </w:rPr>
      </w:pPr>
    </w:p>
    <w:p w14:paraId="34E2274B" w14:textId="12B42956" w:rsidR="004C7D40" w:rsidRDefault="004C7D40" w:rsidP="00A77DF8">
      <w:pPr>
        <w:suppressAutoHyphens/>
        <w:spacing w:after="0" w:line="276" w:lineRule="auto"/>
        <w:jc w:val="both"/>
        <w:rPr>
          <w:rFonts w:ascii="Times New Roman" w:eastAsia="SimSun" w:hAnsi="Times New Roman" w:cs="Times New Roman"/>
          <w:sz w:val="24"/>
          <w:szCs w:val="24"/>
          <w:lang w:eastAsia="ar-SA"/>
        </w:rPr>
      </w:pPr>
    </w:p>
    <w:p w14:paraId="0FA010A8" w14:textId="77777777" w:rsidR="00050F4E" w:rsidRPr="0065476B" w:rsidRDefault="00050F4E" w:rsidP="009D67F6">
      <w:pPr>
        <w:suppressAutoHyphens/>
        <w:spacing w:after="200" w:line="276" w:lineRule="auto"/>
        <w:jc w:val="both"/>
        <w:rPr>
          <w:rFonts w:ascii="Times New Roman" w:hAnsi="Times New Roman" w:cs="Times New Roman"/>
          <w:sz w:val="24"/>
          <w:szCs w:val="24"/>
        </w:rPr>
      </w:pPr>
    </w:p>
    <w:p w14:paraId="0AABC3C4" w14:textId="77777777" w:rsidR="009935E9" w:rsidRPr="0065476B" w:rsidRDefault="009935E9" w:rsidP="0065476B">
      <w:pPr>
        <w:jc w:val="both"/>
        <w:rPr>
          <w:rFonts w:ascii="Times New Roman" w:hAnsi="Times New Roman" w:cs="Times New Roman"/>
          <w:sz w:val="24"/>
          <w:szCs w:val="24"/>
        </w:rPr>
      </w:pPr>
    </w:p>
    <w:sectPr w:rsidR="009935E9" w:rsidRPr="0065476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68163" w14:textId="77777777" w:rsidR="00641B72" w:rsidRDefault="00641B72" w:rsidP="00817F20">
      <w:pPr>
        <w:spacing w:after="0" w:line="240" w:lineRule="auto"/>
      </w:pPr>
      <w:r>
        <w:separator/>
      </w:r>
    </w:p>
  </w:endnote>
  <w:endnote w:type="continuationSeparator" w:id="0">
    <w:p w14:paraId="2973A22E" w14:textId="77777777" w:rsidR="00641B72" w:rsidRDefault="00641B72" w:rsidP="00817F20">
      <w:pPr>
        <w:spacing w:after="0" w:line="240" w:lineRule="auto"/>
      </w:pPr>
      <w:r>
        <w:continuationSeparator/>
      </w:r>
    </w:p>
  </w:endnote>
  <w:endnote w:type="continuationNotice" w:id="1">
    <w:p w14:paraId="256AE77A" w14:textId="77777777" w:rsidR="00641B72" w:rsidRDefault="00641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68461"/>
      <w:docPartObj>
        <w:docPartGallery w:val="Page Numbers (Bottom of Page)"/>
        <w:docPartUnique/>
      </w:docPartObj>
    </w:sdtPr>
    <w:sdtEndPr>
      <w:rPr>
        <w:noProof/>
      </w:rPr>
    </w:sdtEndPr>
    <w:sdtContent>
      <w:p w14:paraId="4931ABD7" w14:textId="34244D66" w:rsidR="00E0295F" w:rsidRDefault="00E0295F">
        <w:pPr>
          <w:pStyle w:val="Footer"/>
          <w:jc w:val="right"/>
        </w:pPr>
        <w:r>
          <w:fldChar w:fldCharType="begin"/>
        </w:r>
        <w:r>
          <w:instrText xml:space="preserve"> PAGE   \* MERGEFORMAT </w:instrText>
        </w:r>
        <w:r>
          <w:fldChar w:fldCharType="separate"/>
        </w:r>
        <w:r w:rsidR="00FB6676">
          <w:rPr>
            <w:noProof/>
          </w:rPr>
          <w:t>13</w:t>
        </w:r>
        <w: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A46D4" w14:textId="77777777" w:rsidR="00641B72" w:rsidRDefault="00641B72" w:rsidP="00817F20">
      <w:pPr>
        <w:spacing w:after="0" w:line="240" w:lineRule="auto"/>
      </w:pPr>
      <w:r>
        <w:separator/>
      </w:r>
    </w:p>
  </w:footnote>
  <w:footnote w:type="continuationSeparator" w:id="0">
    <w:p w14:paraId="7C7D0458" w14:textId="77777777" w:rsidR="00641B72" w:rsidRDefault="00641B72" w:rsidP="00817F20">
      <w:pPr>
        <w:spacing w:after="0" w:line="240" w:lineRule="auto"/>
      </w:pPr>
      <w:r>
        <w:continuationSeparator/>
      </w:r>
    </w:p>
  </w:footnote>
  <w:footnote w:type="continuationNotice" w:id="1">
    <w:p w14:paraId="5BC7A9D5" w14:textId="77777777" w:rsidR="00641B72" w:rsidRDefault="00641B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name w:val="WWNum36"/>
    <w:lvl w:ilvl="0">
      <w:start w:val="1"/>
      <w:numFmt w:val="lowerLetter"/>
      <w:lvlText w:val="%1)"/>
      <w:lvlJc w:val="left"/>
      <w:pPr>
        <w:tabs>
          <w:tab w:val="num" w:pos="0"/>
        </w:tabs>
        <w:ind w:left="720" w:hanging="360"/>
      </w:pPr>
      <w:rPr>
        <w:rFonts w:ascii="Times New Roman" w:eastAsia="Calibri" w:hAnsi="Times New Roman" w:cs="Times New Roman"/>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5"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9"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A847302"/>
    <w:multiLevelType w:val="hybridMultilevel"/>
    <w:tmpl w:val="699CE748"/>
    <w:lvl w:ilvl="0" w:tplc="1CF6703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53A51701"/>
    <w:multiLevelType w:val="multilevel"/>
    <w:tmpl w:val="75140312"/>
    <w:lvl w:ilvl="0">
      <w:start w:val="10"/>
      <w:numFmt w:val="bullet"/>
      <w:lvlText w:val="-"/>
      <w:lvlJc w:val="left"/>
      <w:pPr>
        <w:tabs>
          <w:tab w:val="num" w:pos="1136"/>
        </w:tabs>
        <w:ind w:left="4016" w:hanging="360"/>
      </w:pPr>
      <w:rPr>
        <w:rFonts w:ascii="Arial" w:eastAsia="Times New Roman" w:hAnsi="Arial" w:cs="Times New Roman" w:hint="default"/>
      </w:rPr>
    </w:lvl>
    <w:lvl w:ilvl="1">
      <w:start w:val="1"/>
      <w:numFmt w:val="lowerLetter"/>
      <w:lvlText w:val="%2."/>
      <w:lvlJc w:val="left"/>
      <w:pPr>
        <w:tabs>
          <w:tab w:val="num" w:pos="1136"/>
        </w:tabs>
        <w:ind w:left="3667" w:hanging="360"/>
      </w:pPr>
    </w:lvl>
    <w:lvl w:ilvl="2">
      <w:start w:val="1"/>
      <w:numFmt w:val="lowerRoman"/>
      <w:lvlText w:val="%2.%3."/>
      <w:lvlJc w:val="right"/>
      <w:pPr>
        <w:tabs>
          <w:tab w:val="num" w:pos="1136"/>
        </w:tabs>
        <w:ind w:left="4387" w:hanging="180"/>
      </w:pPr>
    </w:lvl>
    <w:lvl w:ilvl="3">
      <w:start w:val="1"/>
      <w:numFmt w:val="decimal"/>
      <w:lvlText w:val="%2.%3.%4."/>
      <w:lvlJc w:val="left"/>
      <w:pPr>
        <w:tabs>
          <w:tab w:val="num" w:pos="1136"/>
        </w:tabs>
        <w:ind w:left="5107" w:hanging="360"/>
      </w:pPr>
    </w:lvl>
    <w:lvl w:ilvl="4">
      <w:start w:val="1"/>
      <w:numFmt w:val="lowerLetter"/>
      <w:lvlText w:val="%2.%3.%4.%5."/>
      <w:lvlJc w:val="left"/>
      <w:pPr>
        <w:tabs>
          <w:tab w:val="num" w:pos="1136"/>
        </w:tabs>
        <w:ind w:left="5827" w:hanging="360"/>
      </w:pPr>
    </w:lvl>
    <w:lvl w:ilvl="5">
      <w:start w:val="1"/>
      <w:numFmt w:val="lowerRoman"/>
      <w:lvlText w:val="%2.%3.%4.%5.%6."/>
      <w:lvlJc w:val="right"/>
      <w:pPr>
        <w:tabs>
          <w:tab w:val="num" w:pos="1136"/>
        </w:tabs>
        <w:ind w:left="6547" w:hanging="180"/>
      </w:pPr>
    </w:lvl>
    <w:lvl w:ilvl="6">
      <w:start w:val="1"/>
      <w:numFmt w:val="decimal"/>
      <w:lvlText w:val="%2.%3.%4.%5.%6.%7."/>
      <w:lvlJc w:val="left"/>
      <w:pPr>
        <w:tabs>
          <w:tab w:val="num" w:pos="1136"/>
        </w:tabs>
        <w:ind w:left="7267" w:hanging="360"/>
      </w:pPr>
    </w:lvl>
    <w:lvl w:ilvl="7">
      <w:start w:val="1"/>
      <w:numFmt w:val="lowerLetter"/>
      <w:lvlText w:val="%2.%3.%4.%5.%6.%7.%8."/>
      <w:lvlJc w:val="left"/>
      <w:pPr>
        <w:tabs>
          <w:tab w:val="num" w:pos="1136"/>
        </w:tabs>
        <w:ind w:left="7987" w:hanging="360"/>
      </w:pPr>
    </w:lvl>
    <w:lvl w:ilvl="8">
      <w:start w:val="1"/>
      <w:numFmt w:val="lowerRoman"/>
      <w:lvlText w:val="%2.%3.%4.%5.%6.%7.%8.%9."/>
      <w:lvlJc w:val="right"/>
      <w:pPr>
        <w:tabs>
          <w:tab w:val="num" w:pos="1136"/>
        </w:tabs>
        <w:ind w:left="8707" w:hanging="180"/>
      </w:pPr>
    </w:lvl>
  </w:abstractNum>
  <w:abstractNum w:abstractNumId="38"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0"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5"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9" w15:restartNumberingAfterBreak="0">
    <w:nsid w:val="727B2B36"/>
    <w:multiLevelType w:val="hybridMultilevel"/>
    <w:tmpl w:val="25940DBC"/>
    <w:lvl w:ilvl="0" w:tplc="CA827B42">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948" w:hanging="180"/>
      </w:pPr>
    </w:lvl>
    <w:lvl w:ilvl="3" w:tplc="0809000F" w:tentative="1">
      <w:start w:val="1"/>
      <w:numFmt w:val="decimal"/>
      <w:lvlText w:val="%4."/>
      <w:lvlJc w:val="left"/>
      <w:pPr>
        <w:ind w:left="-228" w:hanging="360"/>
      </w:pPr>
    </w:lvl>
    <w:lvl w:ilvl="4" w:tplc="08090019" w:tentative="1">
      <w:start w:val="1"/>
      <w:numFmt w:val="lowerLetter"/>
      <w:lvlText w:val="%5."/>
      <w:lvlJc w:val="left"/>
      <w:pPr>
        <w:ind w:left="492" w:hanging="360"/>
      </w:pPr>
    </w:lvl>
    <w:lvl w:ilvl="5" w:tplc="0809001B" w:tentative="1">
      <w:start w:val="1"/>
      <w:numFmt w:val="lowerRoman"/>
      <w:lvlText w:val="%6."/>
      <w:lvlJc w:val="right"/>
      <w:pPr>
        <w:ind w:left="1212" w:hanging="180"/>
      </w:pPr>
    </w:lvl>
    <w:lvl w:ilvl="6" w:tplc="0809000F" w:tentative="1">
      <w:start w:val="1"/>
      <w:numFmt w:val="decimal"/>
      <w:lvlText w:val="%7."/>
      <w:lvlJc w:val="left"/>
      <w:pPr>
        <w:ind w:left="1932" w:hanging="360"/>
      </w:pPr>
    </w:lvl>
    <w:lvl w:ilvl="7" w:tplc="08090019" w:tentative="1">
      <w:start w:val="1"/>
      <w:numFmt w:val="lowerLetter"/>
      <w:lvlText w:val="%8."/>
      <w:lvlJc w:val="left"/>
      <w:pPr>
        <w:ind w:left="2652" w:hanging="360"/>
      </w:pPr>
    </w:lvl>
    <w:lvl w:ilvl="8" w:tplc="0809001B" w:tentative="1">
      <w:start w:val="1"/>
      <w:numFmt w:val="lowerRoman"/>
      <w:lvlText w:val="%9."/>
      <w:lvlJc w:val="right"/>
      <w:pPr>
        <w:ind w:left="3372" w:hanging="180"/>
      </w:pPr>
    </w:lvl>
  </w:abstractNum>
  <w:abstractNum w:abstractNumId="50"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8444A9"/>
    <w:multiLevelType w:val="hybridMultilevel"/>
    <w:tmpl w:val="F42E4530"/>
    <w:lvl w:ilvl="0" w:tplc="14BE4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28"/>
  </w:num>
  <w:num w:numId="3">
    <w:abstractNumId w:val="27"/>
  </w:num>
  <w:num w:numId="4">
    <w:abstractNumId w:val="24"/>
  </w:num>
  <w:num w:numId="5">
    <w:abstractNumId w:val="23"/>
  </w:num>
  <w:num w:numId="6">
    <w:abstractNumId w:val="44"/>
  </w:num>
  <w:num w:numId="7">
    <w:abstractNumId w:val="47"/>
  </w:num>
  <w:num w:numId="8">
    <w:abstractNumId w:val="46"/>
  </w:num>
  <w:num w:numId="9">
    <w:abstractNumId w:val="48"/>
  </w:num>
  <w:num w:numId="10">
    <w:abstractNumId w:val="26"/>
  </w:num>
  <w:num w:numId="11">
    <w:abstractNumId w:val="30"/>
  </w:num>
  <w:num w:numId="12">
    <w:abstractNumId w:val="32"/>
  </w:num>
  <w:num w:numId="13">
    <w:abstractNumId w:val="31"/>
  </w:num>
  <w:num w:numId="14">
    <w:abstractNumId w:val="22"/>
  </w:num>
  <w:num w:numId="15">
    <w:abstractNumId w:val="34"/>
  </w:num>
  <w:num w:numId="16">
    <w:abstractNumId w:val="5"/>
  </w:num>
  <w:num w:numId="17">
    <w:abstractNumId w:val="6"/>
  </w:num>
  <w:num w:numId="18">
    <w:abstractNumId w:val="11"/>
  </w:num>
  <w:num w:numId="19">
    <w:abstractNumId w:val="19"/>
  </w:num>
  <w:num w:numId="20">
    <w:abstractNumId w:val="37"/>
  </w:num>
  <w:num w:numId="21">
    <w:abstractNumId w:val="21"/>
  </w:num>
  <w:num w:numId="22">
    <w:abstractNumId w:val="33"/>
  </w:num>
  <w:num w:numId="23">
    <w:abstractNumId w:val="40"/>
    <w:lvlOverride w:ilvl="0">
      <w:startOverride w:val="1"/>
    </w:lvlOverride>
    <w:lvlOverride w:ilvl="1"/>
    <w:lvlOverride w:ilvl="2"/>
    <w:lvlOverride w:ilvl="3"/>
    <w:lvlOverride w:ilvl="4"/>
    <w:lvlOverride w:ilvl="5"/>
    <w:lvlOverride w:ilvl="6"/>
    <w:lvlOverride w:ilvl="7"/>
    <w:lvlOverride w:ilvl="8"/>
  </w:num>
  <w:num w:numId="24">
    <w:abstractNumId w:val="45"/>
  </w:num>
  <w:num w:numId="25">
    <w:abstractNumId w:val="38"/>
  </w:num>
  <w:num w:numId="26">
    <w:abstractNumId w:val="36"/>
  </w:num>
  <w:num w:numId="27">
    <w:abstractNumId w:val="42"/>
  </w:num>
  <w:num w:numId="28">
    <w:abstractNumId w:val="43"/>
  </w:num>
  <w:num w:numId="29">
    <w:abstractNumId w:val="49"/>
  </w:num>
  <w:num w:numId="30">
    <w:abstractNumId w:val="29"/>
  </w:num>
  <w:num w:numId="31">
    <w:abstractNumId w:val="41"/>
  </w:num>
  <w:num w:numId="32">
    <w:abstractNumId w:val="53"/>
  </w:num>
  <w:num w:numId="33">
    <w:abstractNumId w:val="35"/>
  </w:num>
  <w:num w:numId="34">
    <w:abstractNumId w:val="51"/>
  </w:num>
  <w:num w:numId="35">
    <w:abstractNumId w:val="52"/>
  </w:num>
  <w:num w:numId="36">
    <w:abstractNumId w:val="5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nb-NO" w:vendorID="64" w:dllVersion="0" w:nlCheck="1" w:checkStyle="0"/>
  <w:activeWritingStyle w:appName="MSWord" w:lang="fr-BE" w:vendorID="64" w:dllVersion="0" w:nlCheck="1" w:checkStyle="0"/>
  <w:activeWritingStyle w:appName="MSWord" w:lang="fr-BE" w:vendorID="64" w:dllVersion="6"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2529B7"/>
    <w:rsid w:val="000018AA"/>
    <w:rsid w:val="0000272E"/>
    <w:rsid w:val="000031F1"/>
    <w:rsid w:val="00003626"/>
    <w:rsid w:val="00004D49"/>
    <w:rsid w:val="00004DFA"/>
    <w:rsid w:val="00005BFA"/>
    <w:rsid w:val="0000620F"/>
    <w:rsid w:val="000122DF"/>
    <w:rsid w:val="00013B9F"/>
    <w:rsid w:val="000152CA"/>
    <w:rsid w:val="0002076C"/>
    <w:rsid w:val="00023169"/>
    <w:rsid w:val="0002471D"/>
    <w:rsid w:val="00026686"/>
    <w:rsid w:val="000276CF"/>
    <w:rsid w:val="00027A78"/>
    <w:rsid w:val="00030104"/>
    <w:rsid w:val="00030F53"/>
    <w:rsid w:val="00037B43"/>
    <w:rsid w:val="000402EE"/>
    <w:rsid w:val="00041611"/>
    <w:rsid w:val="00042E9D"/>
    <w:rsid w:val="00042F34"/>
    <w:rsid w:val="00043385"/>
    <w:rsid w:val="00043A76"/>
    <w:rsid w:val="00047322"/>
    <w:rsid w:val="00047D62"/>
    <w:rsid w:val="00050F4E"/>
    <w:rsid w:val="00052F29"/>
    <w:rsid w:val="00053C23"/>
    <w:rsid w:val="00056E93"/>
    <w:rsid w:val="00057A0A"/>
    <w:rsid w:val="00061599"/>
    <w:rsid w:val="00064BBA"/>
    <w:rsid w:val="000652F7"/>
    <w:rsid w:val="00084543"/>
    <w:rsid w:val="00093FC7"/>
    <w:rsid w:val="000944A0"/>
    <w:rsid w:val="000950C5"/>
    <w:rsid w:val="00095575"/>
    <w:rsid w:val="000A5DC9"/>
    <w:rsid w:val="000A6662"/>
    <w:rsid w:val="000B04F3"/>
    <w:rsid w:val="000B0859"/>
    <w:rsid w:val="000B0E1E"/>
    <w:rsid w:val="000B134B"/>
    <w:rsid w:val="000B267D"/>
    <w:rsid w:val="000B7038"/>
    <w:rsid w:val="000B767D"/>
    <w:rsid w:val="000C0D0F"/>
    <w:rsid w:val="000C5874"/>
    <w:rsid w:val="000D067F"/>
    <w:rsid w:val="000D4EC5"/>
    <w:rsid w:val="000D4FA9"/>
    <w:rsid w:val="000D5561"/>
    <w:rsid w:val="000D69AE"/>
    <w:rsid w:val="000E3C7C"/>
    <w:rsid w:val="000E45BA"/>
    <w:rsid w:val="000E69C7"/>
    <w:rsid w:val="000F0457"/>
    <w:rsid w:val="000F0ED0"/>
    <w:rsid w:val="000F6C3D"/>
    <w:rsid w:val="0010240A"/>
    <w:rsid w:val="00106562"/>
    <w:rsid w:val="00110701"/>
    <w:rsid w:val="0011105D"/>
    <w:rsid w:val="0011117A"/>
    <w:rsid w:val="00114E4D"/>
    <w:rsid w:val="00117CA9"/>
    <w:rsid w:val="00120527"/>
    <w:rsid w:val="00122780"/>
    <w:rsid w:val="00123A6D"/>
    <w:rsid w:val="00123EDF"/>
    <w:rsid w:val="001247F3"/>
    <w:rsid w:val="00125C45"/>
    <w:rsid w:val="00126728"/>
    <w:rsid w:val="00127751"/>
    <w:rsid w:val="0013169A"/>
    <w:rsid w:val="00131A41"/>
    <w:rsid w:val="001345EA"/>
    <w:rsid w:val="00134C41"/>
    <w:rsid w:val="00140DA7"/>
    <w:rsid w:val="001511D8"/>
    <w:rsid w:val="00151501"/>
    <w:rsid w:val="0015371C"/>
    <w:rsid w:val="00155216"/>
    <w:rsid w:val="00155D61"/>
    <w:rsid w:val="00162920"/>
    <w:rsid w:val="00165414"/>
    <w:rsid w:val="00166FFB"/>
    <w:rsid w:val="0017159C"/>
    <w:rsid w:val="0017562A"/>
    <w:rsid w:val="00175DB1"/>
    <w:rsid w:val="00177C92"/>
    <w:rsid w:val="0018065C"/>
    <w:rsid w:val="001819A0"/>
    <w:rsid w:val="001830AA"/>
    <w:rsid w:val="00183E0B"/>
    <w:rsid w:val="00186B51"/>
    <w:rsid w:val="00186E97"/>
    <w:rsid w:val="00190976"/>
    <w:rsid w:val="0019420E"/>
    <w:rsid w:val="0019553A"/>
    <w:rsid w:val="001965BA"/>
    <w:rsid w:val="001A48B8"/>
    <w:rsid w:val="001A5233"/>
    <w:rsid w:val="001A5A8E"/>
    <w:rsid w:val="001B1565"/>
    <w:rsid w:val="001B20DE"/>
    <w:rsid w:val="001B3C33"/>
    <w:rsid w:val="001B4100"/>
    <w:rsid w:val="001B5F6B"/>
    <w:rsid w:val="001B6E5D"/>
    <w:rsid w:val="001C055E"/>
    <w:rsid w:val="001C0B68"/>
    <w:rsid w:val="001C1AD4"/>
    <w:rsid w:val="001C1EF6"/>
    <w:rsid w:val="001C202A"/>
    <w:rsid w:val="001C2C06"/>
    <w:rsid w:val="001D4174"/>
    <w:rsid w:val="001D544C"/>
    <w:rsid w:val="001D6842"/>
    <w:rsid w:val="001E1FF7"/>
    <w:rsid w:val="001F1EF2"/>
    <w:rsid w:val="001F3608"/>
    <w:rsid w:val="001F5330"/>
    <w:rsid w:val="001F5DE8"/>
    <w:rsid w:val="001F6974"/>
    <w:rsid w:val="001F76D9"/>
    <w:rsid w:val="00205469"/>
    <w:rsid w:val="002054D0"/>
    <w:rsid w:val="00206032"/>
    <w:rsid w:val="00210377"/>
    <w:rsid w:val="00210E98"/>
    <w:rsid w:val="002138CE"/>
    <w:rsid w:val="00213E08"/>
    <w:rsid w:val="0021670F"/>
    <w:rsid w:val="00217113"/>
    <w:rsid w:val="002300AF"/>
    <w:rsid w:val="0023080F"/>
    <w:rsid w:val="002318DA"/>
    <w:rsid w:val="002335D4"/>
    <w:rsid w:val="0023544D"/>
    <w:rsid w:val="002409FB"/>
    <w:rsid w:val="00241866"/>
    <w:rsid w:val="002529B7"/>
    <w:rsid w:val="00255F40"/>
    <w:rsid w:val="00256088"/>
    <w:rsid w:val="0025762A"/>
    <w:rsid w:val="00272BCD"/>
    <w:rsid w:val="002761DC"/>
    <w:rsid w:val="00277305"/>
    <w:rsid w:val="0028078F"/>
    <w:rsid w:val="002827E0"/>
    <w:rsid w:val="0028295D"/>
    <w:rsid w:val="002838CF"/>
    <w:rsid w:val="00284360"/>
    <w:rsid w:val="00287673"/>
    <w:rsid w:val="00291C1E"/>
    <w:rsid w:val="002920D2"/>
    <w:rsid w:val="00294D1A"/>
    <w:rsid w:val="0029579C"/>
    <w:rsid w:val="00296072"/>
    <w:rsid w:val="002975D4"/>
    <w:rsid w:val="00297A67"/>
    <w:rsid w:val="002A1369"/>
    <w:rsid w:val="002A1385"/>
    <w:rsid w:val="002A2A07"/>
    <w:rsid w:val="002A3B4C"/>
    <w:rsid w:val="002A638E"/>
    <w:rsid w:val="002B27C6"/>
    <w:rsid w:val="002B56F3"/>
    <w:rsid w:val="002B58B1"/>
    <w:rsid w:val="002B6C39"/>
    <w:rsid w:val="002C3105"/>
    <w:rsid w:val="002C56F2"/>
    <w:rsid w:val="002C7535"/>
    <w:rsid w:val="002D0657"/>
    <w:rsid w:val="002D159F"/>
    <w:rsid w:val="002D2C82"/>
    <w:rsid w:val="002D6E8D"/>
    <w:rsid w:val="002E17E9"/>
    <w:rsid w:val="002E268B"/>
    <w:rsid w:val="002E3EC6"/>
    <w:rsid w:val="002E4398"/>
    <w:rsid w:val="002E470F"/>
    <w:rsid w:val="002E59DD"/>
    <w:rsid w:val="002E658A"/>
    <w:rsid w:val="002F0086"/>
    <w:rsid w:val="002F0875"/>
    <w:rsid w:val="002F37CC"/>
    <w:rsid w:val="002F4B83"/>
    <w:rsid w:val="002F51EF"/>
    <w:rsid w:val="002F685D"/>
    <w:rsid w:val="002F7236"/>
    <w:rsid w:val="00300B65"/>
    <w:rsid w:val="0030308F"/>
    <w:rsid w:val="00304445"/>
    <w:rsid w:val="00307749"/>
    <w:rsid w:val="00311363"/>
    <w:rsid w:val="003125E2"/>
    <w:rsid w:val="00314EFC"/>
    <w:rsid w:val="003162D7"/>
    <w:rsid w:val="00316D3B"/>
    <w:rsid w:val="00316DC1"/>
    <w:rsid w:val="00323825"/>
    <w:rsid w:val="0032773D"/>
    <w:rsid w:val="00332DAA"/>
    <w:rsid w:val="003331AA"/>
    <w:rsid w:val="00335D87"/>
    <w:rsid w:val="00337589"/>
    <w:rsid w:val="00340D29"/>
    <w:rsid w:val="00342CB2"/>
    <w:rsid w:val="00346A1C"/>
    <w:rsid w:val="00347BFD"/>
    <w:rsid w:val="00353AFE"/>
    <w:rsid w:val="00353DC1"/>
    <w:rsid w:val="00355986"/>
    <w:rsid w:val="003577C9"/>
    <w:rsid w:val="003606D1"/>
    <w:rsid w:val="0036096E"/>
    <w:rsid w:val="00362A16"/>
    <w:rsid w:val="00363878"/>
    <w:rsid w:val="00365B92"/>
    <w:rsid w:val="0037008D"/>
    <w:rsid w:val="0037401B"/>
    <w:rsid w:val="003801C1"/>
    <w:rsid w:val="003803A4"/>
    <w:rsid w:val="00381FED"/>
    <w:rsid w:val="003934F5"/>
    <w:rsid w:val="003A3AD2"/>
    <w:rsid w:val="003A55C8"/>
    <w:rsid w:val="003A71BF"/>
    <w:rsid w:val="003B0446"/>
    <w:rsid w:val="003B1DD2"/>
    <w:rsid w:val="003B62D0"/>
    <w:rsid w:val="003B6F8B"/>
    <w:rsid w:val="003B7AEE"/>
    <w:rsid w:val="003C01F5"/>
    <w:rsid w:val="003C1898"/>
    <w:rsid w:val="003C198A"/>
    <w:rsid w:val="003C424A"/>
    <w:rsid w:val="003C5309"/>
    <w:rsid w:val="003D4BA9"/>
    <w:rsid w:val="003D4DF0"/>
    <w:rsid w:val="003D501C"/>
    <w:rsid w:val="003E259F"/>
    <w:rsid w:val="003E5806"/>
    <w:rsid w:val="003F0697"/>
    <w:rsid w:val="003F3C62"/>
    <w:rsid w:val="003F6E42"/>
    <w:rsid w:val="00401F51"/>
    <w:rsid w:val="00403668"/>
    <w:rsid w:val="00405EFB"/>
    <w:rsid w:val="004147E8"/>
    <w:rsid w:val="00424C56"/>
    <w:rsid w:val="00425D83"/>
    <w:rsid w:val="00427EC3"/>
    <w:rsid w:val="004307AB"/>
    <w:rsid w:val="00435C65"/>
    <w:rsid w:val="00443E91"/>
    <w:rsid w:val="00471BE0"/>
    <w:rsid w:val="0047701D"/>
    <w:rsid w:val="0048171E"/>
    <w:rsid w:val="00481E3B"/>
    <w:rsid w:val="004822DD"/>
    <w:rsid w:val="00482DC1"/>
    <w:rsid w:val="00486C40"/>
    <w:rsid w:val="00487FE6"/>
    <w:rsid w:val="00490240"/>
    <w:rsid w:val="00495F16"/>
    <w:rsid w:val="00496E03"/>
    <w:rsid w:val="0049732A"/>
    <w:rsid w:val="004A1813"/>
    <w:rsid w:val="004A6EB6"/>
    <w:rsid w:val="004B7170"/>
    <w:rsid w:val="004C46B5"/>
    <w:rsid w:val="004C7D40"/>
    <w:rsid w:val="004D0790"/>
    <w:rsid w:val="004D15CF"/>
    <w:rsid w:val="004D3699"/>
    <w:rsid w:val="004E2C45"/>
    <w:rsid w:val="004E34E0"/>
    <w:rsid w:val="004E4413"/>
    <w:rsid w:val="004E6425"/>
    <w:rsid w:val="004F354A"/>
    <w:rsid w:val="004F442A"/>
    <w:rsid w:val="004F4B64"/>
    <w:rsid w:val="004F5BC7"/>
    <w:rsid w:val="004F65B2"/>
    <w:rsid w:val="00502701"/>
    <w:rsid w:val="005028F9"/>
    <w:rsid w:val="00502BE7"/>
    <w:rsid w:val="0051056C"/>
    <w:rsid w:val="00510DC4"/>
    <w:rsid w:val="0051168E"/>
    <w:rsid w:val="00512016"/>
    <w:rsid w:val="00512398"/>
    <w:rsid w:val="005163BF"/>
    <w:rsid w:val="005327B8"/>
    <w:rsid w:val="00543BD7"/>
    <w:rsid w:val="00544C8E"/>
    <w:rsid w:val="00546C4D"/>
    <w:rsid w:val="00546C6F"/>
    <w:rsid w:val="005504C0"/>
    <w:rsid w:val="00552893"/>
    <w:rsid w:val="00557C89"/>
    <w:rsid w:val="00560CAB"/>
    <w:rsid w:val="005613B5"/>
    <w:rsid w:val="005619CC"/>
    <w:rsid w:val="00563330"/>
    <w:rsid w:val="00565768"/>
    <w:rsid w:val="00565FCF"/>
    <w:rsid w:val="00572320"/>
    <w:rsid w:val="0057360D"/>
    <w:rsid w:val="00573BA8"/>
    <w:rsid w:val="005760BA"/>
    <w:rsid w:val="005769E9"/>
    <w:rsid w:val="00584E66"/>
    <w:rsid w:val="00585EC6"/>
    <w:rsid w:val="0058623C"/>
    <w:rsid w:val="00595B61"/>
    <w:rsid w:val="00597E9D"/>
    <w:rsid w:val="005A0C8E"/>
    <w:rsid w:val="005A1C7F"/>
    <w:rsid w:val="005A2FBE"/>
    <w:rsid w:val="005A3076"/>
    <w:rsid w:val="005B1D95"/>
    <w:rsid w:val="005B477B"/>
    <w:rsid w:val="005C07FF"/>
    <w:rsid w:val="005C32CB"/>
    <w:rsid w:val="005C4B34"/>
    <w:rsid w:val="005C7AD5"/>
    <w:rsid w:val="005D0C8F"/>
    <w:rsid w:val="005D11F1"/>
    <w:rsid w:val="005D5AA4"/>
    <w:rsid w:val="005D64AC"/>
    <w:rsid w:val="005D6EFF"/>
    <w:rsid w:val="005E0E03"/>
    <w:rsid w:val="005E5D4B"/>
    <w:rsid w:val="005E6644"/>
    <w:rsid w:val="005F088B"/>
    <w:rsid w:val="005F36AE"/>
    <w:rsid w:val="005F6B71"/>
    <w:rsid w:val="005F712D"/>
    <w:rsid w:val="005F7260"/>
    <w:rsid w:val="005F78FB"/>
    <w:rsid w:val="00600878"/>
    <w:rsid w:val="00604187"/>
    <w:rsid w:val="006041A9"/>
    <w:rsid w:val="0060584E"/>
    <w:rsid w:val="006066A9"/>
    <w:rsid w:val="006069C8"/>
    <w:rsid w:val="00607976"/>
    <w:rsid w:val="006124FB"/>
    <w:rsid w:val="00614B10"/>
    <w:rsid w:val="00615B69"/>
    <w:rsid w:val="00617C93"/>
    <w:rsid w:val="00621755"/>
    <w:rsid w:val="00632C98"/>
    <w:rsid w:val="00641B72"/>
    <w:rsid w:val="00642CDD"/>
    <w:rsid w:val="00643205"/>
    <w:rsid w:val="00643301"/>
    <w:rsid w:val="00643D34"/>
    <w:rsid w:val="006450E9"/>
    <w:rsid w:val="00650121"/>
    <w:rsid w:val="006508E8"/>
    <w:rsid w:val="00652A90"/>
    <w:rsid w:val="00652D4E"/>
    <w:rsid w:val="0065476B"/>
    <w:rsid w:val="0065549E"/>
    <w:rsid w:val="0065659D"/>
    <w:rsid w:val="00665FE7"/>
    <w:rsid w:val="00666C15"/>
    <w:rsid w:val="006721CA"/>
    <w:rsid w:val="0067299F"/>
    <w:rsid w:val="006754F6"/>
    <w:rsid w:val="00675792"/>
    <w:rsid w:val="0068262B"/>
    <w:rsid w:val="00692D1A"/>
    <w:rsid w:val="00695FAD"/>
    <w:rsid w:val="006A0735"/>
    <w:rsid w:val="006A0F78"/>
    <w:rsid w:val="006A1588"/>
    <w:rsid w:val="006A162A"/>
    <w:rsid w:val="006A5F79"/>
    <w:rsid w:val="006A740D"/>
    <w:rsid w:val="006A7C2D"/>
    <w:rsid w:val="006B1292"/>
    <w:rsid w:val="006B41C9"/>
    <w:rsid w:val="006B4C78"/>
    <w:rsid w:val="006B6A68"/>
    <w:rsid w:val="006B7360"/>
    <w:rsid w:val="006B7D8F"/>
    <w:rsid w:val="006C0F5D"/>
    <w:rsid w:val="006C139B"/>
    <w:rsid w:val="006C27A1"/>
    <w:rsid w:val="006C3FBD"/>
    <w:rsid w:val="006C4171"/>
    <w:rsid w:val="006C421B"/>
    <w:rsid w:val="006C4822"/>
    <w:rsid w:val="006C5B7E"/>
    <w:rsid w:val="006C6577"/>
    <w:rsid w:val="006C6EC2"/>
    <w:rsid w:val="006D0BDB"/>
    <w:rsid w:val="006E6519"/>
    <w:rsid w:val="006F0ECA"/>
    <w:rsid w:val="006F15D7"/>
    <w:rsid w:val="006F45F4"/>
    <w:rsid w:val="006F7846"/>
    <w:rsid w:val="00701C8B"/>
    <w:rsid w:val="0070208C"/>
    <w:rsid w:val="00702D75"/>
    <w:rsid w:val="00710E6B"/>
    <w:rsid w:val="00711F7B"/>
    <w:rsid w:val="007125AB"/>
    <w:rsid w:val="0071363A"/>
    <w:rsid w:val="0071613A"/>
    <w:rsid w:val="00720F17"/>
    <w:rsid w:val="007222EC"/>
    <w:rsid w:val="00724741"/>
    <w:rsid w:val="0072543D"/>
    <w:rsid w:val="00727DB9"/>
    <w:rsid w:val="007340A1"/>
    <w:rsid w:val="007349A4"/>
    <w:rsid w:val="007363C6"/>
    <w:rsid w:val="00736544"/>
    <w:rsid w:val="007407C4"/>
    <w:rsid w:val="00744151"/>
    <w:rsid w:val="00747B85"/>
    <w:rsid w:val="0075068E"/>
    <w:rsid w:val="00754024"/>
    <w:rsid w:val="0075402E"/>
    <w:rsid w:val="00754B99"/>
    <w:rsid w:val="00763944"/>
    <w:rsid w:val="0076646C"/>
    <w:rsid w:val="007709F3"/>
    <w:rsid w:val="00771C83"/>
    <w:rsid w:val="007813F7"/>
    <w:rsid w:val="00782425"/>
    <w:rsid w:val="007826F8"/>
    <w:rsid w:val="007848D5"/>
    <w:rsid w:val="007878F3"/>
    <w:rsid w:val="0079012F"/>
    <w:rsid w:val="007915E2"/>
    <w:rsid w:val="00791D7A"/>
    <w:rsid w:val="00791FB8"/>
    <w:rsid w:val="00792FC7"/>
    <w:rsid w:val="00794962"/>
    <w:rsid w:val="0079586A"/>
    <w:rsid w:val="007966A8"/>
    <w:rsid w:val="0079699E"/>
    <w:rsid w:val="007973FB"/>
    <w:rsid w:val="007A0385"/>
    <w:rsid w:val="007A235B"/>
    <w:rsid w:val="007A2C72"/>
    <w:rsid w:val="007A5336"/>
    <w:rsid w:val="007A58B5"/>
    <w:rsid w:val="007A70AB"/>
    <w:rsid w:val="007B05C2"/>
    <w:rsid w:val="007B286D"/>
    <w:rsid w:val="007B2DAF"/>
    <w:rsid w:val="007B39F0"/>
    <w:rsid w:val="007B4968"/>
    <w:rsid w:val="007B6074"/>
    <w:rsid w:val="007B6AB3"/>
    <w:rsid w:val="007B6EA4"/>
    <w:rsid w:val="007C3059"/>
    <w:rsid w:val="007C6FD7"/>
    <w:rsid w:val="007C738C"/>
    <w:rsid w:val="007C7D7B"/>
    <w:rsid w:val="007D2FD5"/>
    <w:rsid w:val="007D6080"/>
    <w:rsid w:val="007E07E8"/>
    <w:rsid w:val="007F03AE"/>
    <w:rsid w:val="007F06D1"/>
    <w:rsid w:val="007F07B1"/>
    <w:rsid w:val="007F10F6"/>
    <w:rsid w:val="007F299C"/>
    <w:rsid w:val="007F2F7D"/>
    <w:rsid w:val="007F576A"/>
    <w:rsid w:val="007F6CA4"/>
    <w:rsid w:val="007F75E4"/>
    <w:rsid w:val="007F7953"/>
    <w:rsid w:val="008014A8"/>
    <w:rsid w:val="00804C45"/>
    <w:rsid w:val="0080622E"/>
    <w:rsid w:val="00806582"/>
    <w:rsid w:val="00814FC2"/>
    <w:rsid w:val="0081758A"/>
    <w:rsid w:val="00817B35"/>
    <w:rsid w:val="00817F20"/>
    <w:rsid w:val="0082286F"/>
    <w:rsid w:val="0082327C"/>
    <w:rsid w:val="00825693"/>
    <w:rsid w:val="00825BC1"/>
    <w:rsid w:val="00832806"/>
    <w:rsid w:val="008332AE"/>
    <w:rsid w:val="00833A0C"/>
    <w:rsid w:val="008346E4"/>
    <w:rsid w:val="00834F48"/>
    <w:rsid w:val="00836BC1"/>
    <w:rsid w:val="00837FED"/>
    <w:rsid w:val="00842691"/>
    <w:rsid w:val="0084546E"/>
    <w:rsid w:val="00846266"/>
    <w:rsid w:val="00847834"/>
    <w:rsid w:val="00847F6D"/>
    <w:rsid w:val="0085151D"/>
    <w:rsid w:val="0085155A"/>
    <w:rsid w:val="0085178E"/>
    <w:rsid w:val="00851E4C"/>
    <w:rsid w:val="00853CF1"/>
    <w:rsid w:val="00865379"/>
    <w:rsid w:val="00867FE3"/>
    <w:rsid w:val="00870B65"/>
    <w:rsid w:val="008744CD"/>
    <w:rsid w:val="008747D3"/>
    <w:rsid w:val="0087743F"/>
    <w:rsid w:val="008778C9"/>
    <w:rsid w:val="00883579"/>
    <w:rsid w:val="00884E12"/>
    <w:rsid w:val="00887E6B"/>
    <w:rsid w:val="00893207"/>
    <w:rsid w:val="008955D8"/>
    <w:rsid w:val="00896D2C"/>
    <w:rsid w:val="008978B4"/>
    <w:rsid w:val="00897957"/>
    <w:rsid w:val="008A16F8"/>
    <w:rsid w:val="008A1B71"/>
    <w:rsid w:val="008A1F09"/>
    <w:rsid w:val="008A604C"/>
    <w:rsid w:val="008A65D9"/>
    <w:rsid w:val="008A74F7"/>
    <w:rsid w:val="008B228A"/>
    <w:rsid w:val="008B3597"/>
    <w:rsid w:val="008B3CD5"/>
    <w:rsid w:val="008B58CD"/>
    <w:rsid w:val="008B5B96"/>
    <w:rsid w:val="008B6160"/>
    <w:rsid w:val="008B796A"/>
    <w:rsid w:val="008C0286"/>
    <w:rsid w:val="008C0A8B"/>
    <w:rsid w:val="008C0EC1"/>
    <w:rsid w:val="008C4BA8"/>
    <w:rsid w:val="008D2368"/>
    <w:rsid w:val="008D6C4C"/>
    <w:rsid w:val="008D7936"/>
    <w:rsid w:val="008E4ABB"/>
    <w:rsid w:val="008E4B47"/>
    <w:rsid w:val="008E5AE5"/>
    <w:rsid w:val="008E6A34"/>
    <w:rsid w:val="008E7015"/>
    <w:rsid w:val="008F0541"/>
    <w:rsid w:val="008F1428"/>
    <w:rsid w:val="008F174F"/>
    <w:rsid w:val="008F4E55"/>
    <w:rsid w:val="008F5329"/>
    <w:rsid w:val="009023D5"/>
    <w:rsid w:val="00902A61"/>
    <w:rsid w:val="00903AF7"/>
    <w:rsid w:val="00911569"/>
    <w:rsid w:val="00914615"/>
    <w:rsid w:val="009148D8"/>
    <w:rsid w:val="0091492B"/>
    <w:rsid w:val="009155B3"/>
    <w:rsid w:val="00916113"/>
    <w:rsid w:val="00926109"/>
    <w:rsid w:val="009262B2"/>
    <w:rsid w:val="00926EE9"/>
    <w:rsid w:val="00930908"/>
    <w:rsid w:val="009319BB"/>
    <w:rsid w:val="00934AAE"/>
    <w:rsid w:val="00935A14"/>
    <w:rsid w:val="009529D4"/>
    <w:rsid w:val="009534D2"/>
    <w:rsid w:val="009627FE"/>
    <w:rsid w:val="00965BA4"/>
    <w:rsid w:val="00975507"/>
    <w:rsid w:val="00975D10"/>
    <w:rsid w:val="00984BBB"/>
    <w:rsid w:val="00984FEE"/>
    <w:rsid w:val="0099065C"/>
    <w:rsid w:val="009935E9"/>
    <w:rsid w:val="0099694D"/>
    <w:rsid w:val="00996FE9"/>
    <w:rsid w:val="009A0408"/>
    <w:rsid w:val="009A29B9"/>
    <w:rsid w:val="009A7E69"/>
    <w:rsid w:val="009B4251"/>
    <w:rsid w:val="009B5560"/>
    <w:rsid w:val="009B5C74"/>
    <w:rsid w:val="009B6506"/>
    <w:rsid w:val="009B6993"/>
    <w:rsid w:val="009C08E7"/>
    <w:rsid w:val="009C0FF4"/>
    <w:rsid w:val="009C10E1"/>
    <w:rsid w:val="009C23F3"/>
    <w:rsid w:val="009C244E"/>
    <w:rsid w:val="009C3A32"/>
    <w:rsid w:val="009C5C11"/>
    <w:rsid w:val="009D0297"/>
    <w:rsid w:val="009D3855"/>
    <w:rsid w:val="009D4E3C"/>
    <w:rsid w:val="009D53D9"/>
    <w:rsid w:val="009D57BA"/>
    <w:rsid w:val="009D67F6"/>
    <w:rsid w:val="009E1044"/>
    <w:rsid w:val="009E2018"/>
    <w:rsid w:val="009E5340"/>
    <w:rsid w:val="009F01D8"/>
    <w:rsid w:val="009F0C6D"/>
    <w:rsid w:val="009F166F"/>
    <w:rsid w:val="009F5176"/>
    <w:rsid w:val="009F7B53"/>
    <w:rsid w:val="009F7BE0"/>
    <w:rsid w:val="009F7CB7"/>
    <w:rsid w:val="00A01ECF"/>
    <w:rsid w:val="00A05E46"/>
    <w:rsid w:val="00A06084"/>
    <w:rsid w:val="00A07A46"/>
    <w:rsid w:val="00A07B0C"/>
    <w:rsid w:val="00A1052B"/>
    <w:rsid w:val="00A12268"/>
    <w:rsid w:val="00A13547"/>
    <w:rsid w:val="00A140BF"/>
    <w:rsid w:val="00A14157"/>
    <w:rsid w:val="00A160EF"/>
    <w:rsid w:val="00A216AE"/>
    <w:rsid w:val="00A2185D"/>
    <w:rsid w:val="00A22AD7"/>
    <w:rsid w:val="00A22C60"/>
    <w:rsid w:val="00A27666"/>
    <w:rsid w:val="00A30175"/>
    <w:rsid w:val="00A3178B"/>
    <w:rsid w:val="00A332E8"/>
    <w:rsid w:val="00A33784"/>
    <w:rsid w:val="00A35B1F"/>
    <w:rsid w:val="00A36B10"/>
    <w:rsid w:val="00A4161E"/>
    <w:rsid w:val="00A41A0E"/>
    <w:rsid w:val="00A4238B"/>
    <w:rsid w:val="00A533B3"/>
    <w:rsid w:val="00A55C59"/>
    <w:rsid w:val="00A57CE6"/>
    <w:rsid w:val="00A7206F"/>
    <w:rsid w:val="00A72929"/>
    <w:rsid w:val="00A72DEC"/>
    <w:rsid w:val="00A73FEB"/>
    <w:rsid w:val="00A77DF8"/>
    <w:rsid w:val="00A77FD1"/>
    <w:rsid w:val="00A80399"/>
    <w:rsid w:val="00A80C91"/>
    <w:rsid w:val="00A80CC9"/>
    <w:rsid w:val="00A82AFE"/>
    <w:rsid w:val="00A907AD"/>
    <w:rsid w:val="00A92349"/>
    <w:rsid w:val="00A95401"/>
    <w:rsid w:val="00A95AAF"/>
    <w:rsid w:val="00A96521"/>
    <w:rsid w:val="00AA65CD"/>
    <w:rsid w:val="00AB0DB4"/>
    <w:rsid w:val="00AB1349"/>
    <w:rsid w:val="00AC1ED2"/>
    <w:rsid w:val="00AC3406"/>
    <w:rsid w:val="00AC469F"/>
    <w:rsid w:val="00AC79EB"/>
    <w:rsid w:val="00AE49AF"/>
    <w:rsid w:val="00AE6865"/>
    <w:rsid w:val="00AE78B6"/>
    <w:rsid w:val="00AF0AEB"/>
    <w:rsid w:val="00AF1DF9"/>
    <w:rsid w:val="00AF4412"/>
    <w:rsid w:val="00B0061E"/>
    <w:rsid w:val="00B04390"/>
    <w:rsid w:val="00B0768D"/>
    <w:rsid w:val="00B121C1"/>
    <w:rsid w:val="00B22CF8"/>
    <w:rsid w:val="00B23C8A"/>
    <w:rsid w:val="00B300FE"/>
    <w:rsid w:val="00B30C1B"/>
    <w:rsid w:val="00B33BD8"/>
    <w:rsid w:val="00B33EBE"/>
    <w:rsid w:val="00B33F1F"/>
    <w:rsid w:val="00B364E3"/>
    <w:rsid w:val="00B520C7"/>
    <w:rsid w:val="00B528FE"/>
    <w:rsid w:val="00B54BE4"/>
    <w:rsid w:val="00B57FA8"/>
    <w:rsid w:val="00B60017"/>
    <w:rsid w:val="00B627E3"/>
    <w:rsid w:val="00B715A9"/>
    <w:rsid w:val="00B75992"/>
    <w:rsid w:val="00B81914"/>
    <w:rsid w:val="00B848E0"/>
    <w:rsid w:val="00B84EC5"/>
    <w:rsid w:val="00B91396"/>
    <w:rsid w:val="00B918B3"/>
    <w:rsid w:val="00B9213B"/>
    <w:rsid w:val="00B94395"/>
    <w:rsid w:val="00B955B0"/>
    <w:rsid w:val="00B95C6D"/>
    <w:rsid w:val="00B96602"/>
    <w:rsid w:val="00BA3A85"/>
    <w:rsid w:val="00BA6AF6"/>
    <w:rsid w:val="00BB0447"/>
    <w:rsid w:val="00BB071A"/>
    <w:rsid w:val="00BB0B71"/>
    <w:rsid w:val="00BB2511"/>
    <w:rsid w:val="00BB5FEA"/>
    <w:rsid w:val="00BC09EB"/>
    <w:rsid w:val="00BC1584"/>
    <w:rsid w:val="00BC177C"/>
    <w:rsid w:val="00BC2584"/>
    <w:rsid w:val="00BC6D00"/>
    <w:rsid w:val="00BC77D8"/>
    <w:rsid w:val="00BD1EED"/>
    <w:rsid w:val="00BD6D07"/>
    <w:rsid w:val="00BD7FAC"/>
    <w:rsid w:val="00BE5ACB"/>
    <w:rsid w:val="00BF0CA6"/>
    <w:rsid w:val="00BF206B"/>
    <w:rsid w:val="00BF47BE"/>
    <w:rsid w:val="00BF4E20"/>
    <w:rsid w:val="00BF5C06"/>
    <w:rsid w:val="00BF5F01"/>
    <w:rsid w:val="00BF76BC"/>
    <w:rsid w:val="00C1009F"/>
    <w:rsid w:val="00C10791"/>
    <w:rsid w:val="00C114C7"/>
    <w:rsid w:val="00C14718"/>
    <w:rsid w:val="00C150F9"/>
    <w:rsid w:val="00C17D7C"/>
    <w:rsid w:val="00C217E2"/>
    <w:rsid w:val="00C26334"/>
    <w:rsid w:val="00C31AB8"/>
    <w:rsid w:val="00C36883"/>
    <w:rsid w:val="00C432D0"/>
    <w:rsid w:val="00C4733E"/>
    <w:rsid w:val="00C47E26"/>
    <w:rsid w:val="00C5024D"/>
    <w:rsid w:val="00C5171D"/>
    <w:rsid w:val="00C51861"/>
    <w:rsid w:val="00C51B20"/>
    <w:rsid w:val="00C53730"/>
    <w:rsid w:val="00C5391E"/>
    <w:rsid w:val="00C53AD1"/>
    <w:rsid w:val="00C552FF"/>
    <w:rsid w:val="00C55CB1"/>
    <w:rsid w:val="00C56D96"/>
    <w:rsid w:val="00C61070"/>
    <w:rsid w:val="00C65D2D"/>
    <w:rsid w:val="00C70621"/>
    <w:rsid w:val="00C7399D"/>
    <w:rsid w:val="00C76F48"/>
    <w:rsid w:val="00C8067D"/>
    <w:rsid w:val="00C85552"/>
    <w:rsid w:val="00C92232"/>
    <w:rsid w:val="00C93179"/>
    <w:rsid w:val="00C93819"/>
    <w:rsid w:val="00C955C3"/>
    <w:rsid w:val="00C96F25"/>
    <w:rsid w:val="00CA0600"/>
    <w:rsid w:val="00CA0E95"/>
    <w:rsid w:val="00CB6A1C"/>
    <w:rsid w:val="00CB6BD4"/>
    <w:rsid w:val="00CC28C4"/>
    <w:rsid w:val="00CD0CE2"/>
    <w:rsid w:val="00CD58D9"/>
    <w:rsid w:val="00CD78E4"/>
    <w:rsid w:val="00CE5180"/>
    <w:rsid w:val="00CE7AB7"/>
    <w:rsid w:val="00CF3C41"/>
    <w:rsid w:val="00CF7158"/>
    <w:rsid w:val="00D010B5"/>
    <w:rsid w:val="00D0542F"/>
    <w:rsid w:val="00D12680"/>
    <w:rsid w:val="00D13598"/>
    <w:rsid w:val="00D13A37"/>
    <w:rsid w:val="00D14A8B"/>
    <w:rsid w:val="00D15D88"/>
    <w:rsid w:val="00D17430"/>
    <w:rsid w:val="00D17574"/>
    <w:rsid w:val="00D23EDE"/>
    <w:rsid w:val="00D318F3"/>
    <w:rsid w:val="00D3365E"/>
    <w:rsid w:val="00D422C0"/>
    <w:rsid w:val="00D42C3B"/>
    <w:rsid w:val="00D4717B"/>
    <w:rsid w:val="00D56ACA"/>
    <w:rsid w:val="00D57031"/>
    <w:rsid w:val="00D62ECA"/>
    <w:rsid w:val="00D64B62"/>
    <w:rsid w:val="00D65A42"/>
    <w:rsid w:val="00D67D4D"/>
    <w:rsid w:val="00D70DB4"/>
    <w:rsid w:val="00D7233E"/>
    <w:rsid w:val="00D73AC0"/>
    <w:rsid w:val="00D7511F"/>
    <w:rsid w:val="00D753E9"/>
    <w:rsid w:val="00D77769"/>
    <w:rsid w:val="00D779C8"/>
    <w:rsid w:val="00D81244"/>
    <w:rsid w:val="00D8491E"/>
    <w:rsid w:val="00D8516A"/>
    <w:rsid w:val="00D867A7"/>
    <w:rsid w:val="00D87E79"/>
    <w:rsid w:val="00D939B5"/>
    <w:rsid w:val="00DA31C0"/>
    <w:rsid w:val="00DA4247"/>
    <w:rsid w:val="00DA4A44"/>
    <w:rsid w:val="00DA721B"/>
    <w:rsid w:val="00DA73E2"/>
    <w:rsid w:val="00DA7A67"/>
    <w:rsid w:val="00DB06A3"/>
    <w:rsid w:val="00DB3B5B"/>
    <w:rsid w:val="00DB3BE6"/>
    <w:rsid w:val="00DB4627"/>
    <w:rsid w:val="00DB6B15"/>
    <w:rsid w:val="00DB7455"/>
    <w:rsid w:val="00DB7C89"/>
    <w:rsid w:val="00DC3F21"/>
    <w:rsid w:val="00DC41F5"/>
    <w:rsid w:val="00DC75B4"/>
    <w:rsid w:val="00DC77CF"/>
    <w:rsid w:val="00DC7EA1"/>
    <w:rsid w:val="00DD086D"/>
    <w:rsid w:val="00DD3DD2"/>
    <w:rsid w:val="00DD5AD0"/>
    <w:rsid w:val="00DD5FD5"/>
    <w:rsid w:val="00DD7372"/>
    <w:rsid w:val="00DE0FF4"/>
    <w:rsid w:val="00DE1EDA"/>
    <w:rsid w:val="00DE28BC"/>
    <w:rsid w:val="00DE2ED3"/>
    <w:rsid w:val="00DE5A5F"/>
    <w:rsid w:val="00DE73EF"/>
    <w:rsid w:val="00DF1E4A"/>
    <w:rsid w:val="00DF433E"/>
    <w:rsid w:val="00E010C4"/>
    <w:rsid w:val="00E0295F"/>
    <w:rsid w:val="00E034FF"/>
    <w:rsid w:val="00E06898"/>
    <w:rsid w:val="00E16CA9"/>
    <w:rsid w:val="00E22824"/>
    <w:rsid w:val="00E2460E"/>
    <w:rsid w:val="00E34190"/>
    <w:rsid w:val="00E34B20"/>
    <w:rsid w:val="00E35854"/>
    <w:rsid w:val="00E37691"/>
    <w:rsid w:val="00E4084B"/>
    <w:rsid w:val="00E47510"/>
    <w:rsid w:val="00E518AB"/>
    <w:rsid w:val="00E53138"/>
    <w:rsid w:val="00E55813"/>
    <w:rsid w:val="00E56C3E"/>
    <w:rsid w:val="00E56D08"/>
    <w:rsid w:val="00E60B41"/>
    <w:rsid w:val="00E636EE"/>
    <w:rsid w:val="00E65624"/>
    <w:rsid w:val="00E660CF"/>
    <w:rsid w:val="00E661C9"/>
    <w:rsid w:val="00E66F9B"/>
    <w:rsid w:val="00E73B1B"/>
    <w:rsid w:val="00E7525F"/>
    <w:rsid w:val="00E7777A"/>
    <w:rsid w:val="00E84368"/>
    <w:rsid w:val="00E8688B"/>
    <w:rsid w:val="00E94EE5"/>
    <w:rsid w:val="00E96049"/>
    <w:rsid w:val="00EB1E5C"/>
    <w:rsid w:val="00EB25FD"/>
    <w:rsid w:val="00EB2CC0"/>
    <w:rsid w:val="00EB2EC4"/>
    <w:rsid w:val="00EB4AC0"/>
    <w:rsid w:val="00EC4258"/>
    <w:rsid w:val="00EC49F4"/>
    <w:rsid w:val="00EC4A20"/>
    <w:rsid w:val="00EC74E9"/>
    <w:rsid w:val="00ED3ABA"/>
    <w:rsid w:val="00ED4609"/>
    <w:rsid w:val="00ED56CA"/>
    <w:rsid w:val="00ED5FC9"/>
    <w:rsid w:val="00ED67AB"/>
    <w:rsid w:val="00ED788B"/>
    <w:rsid w:val="00ED7C3D"/>
    <w:rsid w:val="00ED7CD0"/>
    <w:rsid w:val="00EE170C"/>
    <w:rsid w:val="00EE1B29"/>
    <w:rsid w:val="00EE3D78"/>
    <w:rsid w:val="00EE4A5C"/>
    <w:rsid w:val="00EF0137"/>
    <w:rsid w:val="00EF24BC"/>
    <w:rsid w:val="00EF27FD"/>
    <w:rsid w:val="00EF2B20"/>
    <w:rsid w:val="00EF5AD3"/>
    <w:rsid w:val="00F04CE2"/>
    <w:rsid w:val="00F05637"/>
    <w:rsid w:val="00F0611A"/>
    <w:rsid w:val="00F068E1"/>
    <w:rsid w:val="00F07D69"/>
    <w:rsid w:val="00F10352"/>
    <w:rsid w:val="00F12ABC"/>
    <w:rsid w:val="00F14524"/>
    <w:rsid w:val="00F17034"/>
    <w:rsid w:val="00F17F3C"/>
    <w:rsid w:val="00F21036"/>
    <w:rsid w:val="00F22318"/>
    <w:rsid w:val="00F249FB"/>
    <w:rsid w:val="00F266A3"/>
    <w:rsid w:val="00F27F34"/>
    <w:rsid w:val="00F333D9"/>
    <w:rsid w:val="00F37A7D"/>
    <w:rsid w:val="00F41DCD"/>
    <w:rsid w:val="00F4337E"/>
    <w:rsid w:val="00F450A8"/>
    <w:rsid w:val="00F46571"/>
    <w:rsid w:val="00F468CD"/>
    <w:rsid w:val="00F5376F"/>
    <w:rsid w:val="00F56939"/>
    <w:rsid w:val="00F56B73"/>
    <w:rsid w:val="00F57DBD"/>
    <w:rsid w:val="00F604CF"/>
    <w:rsid w:val="00F61BED"/>
    <w:rsid w:val="00F61C04"/>
    <w:rsid w:val="00F62D22"/>
    <w:rsid w:val="00F640CD"/>
    <w:rsid w:val="00F64991"/>
    <w:rsid w:val="00F651AB"/>
    <w:rsid w:val="00F70206"/>
    <w:rsid w:val="00F72F6E"/>
    <w:rsid w:val="00F733DB"/>
    <w:rsid w:val="00F85201"/>
    <w:rsid w:val="00F909C6"/>
    <w:rsid w:val="00F90A8A"/>
    <w:rsid w:val="00F926FA"/>
    <w:rsid w:val="00F94869"/>
    <w:rsid w:val="00F97BD5"/>
    <w:rsid w:val="00FA0102"/>
    <w:rsid w:val="00FA0B91"/>
    <w:rsid w:val="00FA2CCC"/>
    <w:rsid w:val="00FB6676"/>
    <w:rsid w:val="00FB78E8"/>
    <w:rsid w:val="00FC3FED"/>
    <w:rsid w:val="00FC69A7"/>
    <w:rsid w:val="00FC75FA"/>
    <w:rsid w:val="00FC7659"/>
    <w:rsid w:val="00FC77FB"/>
    <w:rsid w:val="00FD0B9B"/>
    <w:rsid w:val="00FD2801"/>
    <w:rsid w:val="00FD520E"/>
    <w:rsid w:val="00FD7C9D"/>
    <w:rsid w:val="00FE103E"/>
    <w:rsid w:val="00FE3AA3"/>
    <w:rsid w:val="00FE3BEF"/>
    <w:rsid w:val="00FE4368"/>
    <w:rsid w:val="00FE67B3"/>
    <w:rsid w:val="00FE6D91"/>
    <w:rsid w:val="00FF21AD"/>
    <w:rsid w:val="00FF5388"/>
    <w:rsid w:val="00FF5574"/>
    <w:rsid w:val="00FF5C8F"/>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3158F"/>
  <w15:chartTrackingRefBased/>
  <w15:docId w15:val="{5CE4D3DC-A1F0-4C11-9C07-18FB3783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2E8"/>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sl-SI"/>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sl-SI"/>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sl-SI"/>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sl-SI"/>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sl-SI"/>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sl-SI"/>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sl-SI"/>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sl-SI"/>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2"/>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3"/>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sl-SI"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sl-SI"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rPr>
  </w:style>
  <w:style w:type="character" w:customStyle="1" w:styleId="Style2Char">
    <w:name w:val="Style2 Char"/>
    <w:link w:val="Style2"/>
    <w:rsid w:val="00050F4E"/>
    <w:rPr>
      <w:rFonts w:ascii="Times New Roman" w:eastAsia="Calibri" w:hAnsi="Times New Roman" w:cs="Times New Roman"/>
      <w:sz w:val="24"/>
      <w:szCs w:val="20"/>
      <w:lang w:val="sl-SI"/>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050F4E"/>
    <w:rPr>
      <w:rFonts w:ascii="Times New Roman" w:eastAsia="Calibri" w:hAnsi="Times New Roman" w:cs="Times New Roman"/>
      <w:sz w:val="24"/>
      <w:szCs w:val="20"/>
      <w:lang w:val="sl-SI"/>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sl-SI"/>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sl-SI"/>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sl-SI" w:eastAsia="zh-CN"/>
    </w:rPr>
  </w:style>
  <w:style w:type="paragraph" w:styleId="Revision">
    <w:name w:val="Revision"/>
    <w:hidden/>
    <w:rsid w:val="00050F4E"/>
    <w:pPr>
      <w:spacing w:after="0" w:line="240" w:lineRule="auto"/>
    </w:pPr>
    <w:rPr>
      <w:rFonts w:ascii="Times New Roman" w:hAnsi="Times New Roman"/>
      <w:sz w:val="24"/>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sl-SI"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sl-SI"/>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rPr>
  </w:style>
  <w:style w:type="paragraph" w:styleId="NormalWeb">
    <w:name w:val="Normal (Web)"/>
    <w:basedOn w:val="Normal"/>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sl-SI"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sl-SI"/>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sl-SI"/>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5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sl-SI" w:eastAsia="en-GB"/>
    </w:rPr>
  </w:style>
  <w:style w:type="character" w:customStyle="1" w:styleId="y2iqfc">
    <w:name w:val="y2iqfc"/>
    <w:basedOn w:val="DefaultParagraphFont"/>
    <w:rsid w:val="0088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620843521">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istance-calculator_s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(master files)</Document>
    <Year xmlns="cfd06d9f-862c-4359-9a69-c66ff689f26a">2023</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4A80C-0156-47E8-942D-8810AD1C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0B4A6-F746-4C3A-9DD9-F93EC1D6D4B6}">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27B0F2C0-C1CB-4775-9B83-61242E5A52BB}">
  <ds:schemaRefs>
    <ds:schemaRef ds:uri="http://schemas.microsoft.com/sharepoint/v3/contenttype/forms"/>
  </ds:schemaRefs>
</ds:datastoreItem>
</file>

<file path=customXml/itemProps4.xml><?xml version="1.0" encoding="utf-8"?>
<ds:datastoreItem xmlns:ds="http://schemas.openxmlformats.org/officeDocument/2006/customXml" ds:itemID="{E103F129-BF3C-4CFE-8411-D0FDADBB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Majda Miklavčič</cp:lastModifiedBy>
  <cp:revision>30</cp:revision>
  <cp:lastPrinted>2022-10-20T07:45:00Z</cp:lastPrinted>
  <dcterms:created xsi:type="dcterms:W3CDTF">2023-02-22T10:18:00Z</dcterms:created>
  <dcterms:modified xsi:type="dcterms:W3CDTF">2023-05-29T12:54:00Z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2022-09-19T10:48:35Z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3ae3ec63-e31c-43da-971e-483880cb80ae</vt:lpwstr>
  </property>
  <property fmtid="{D5CDD505-2E9C-101B-9397-08002B2CF9AE}" pid="9" name="MSIP_Label_6bd9ddd1-4d20-43f6-abfa-fc3c07406f94_ContentBits">
    <vt:lpwstr>0</vt:lpwstr>
  </property>
  <property fmtid="{D5CDD505-2E9C-101B-9397-08002B2CF9AE}" pid="10" name="GrammarlyDocumentId">
    <vt:lpwstr>698f630470964010e06d2a8244b03261b877a98c383331b4a6ab5c655f481b48</vt:lpwstr>
  </property>
</Properties>
</file>