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B894F" w14:textId="77777777" w:rsidR="001721CC" w:rsidRPr="00D06D68" w:rsidRDefault="001721CC" w:rsidP="00797757">
      <w:pPr>
        <w:pStyle w:val="TOCHeading"/>
        <w:spacing w:before="100"/>
        <w:rPr>
          <w:szCs w:val="24"/>
        </w:rPr>
      </w:pPr>
      <w:r>
        <w:t>Kazalo</w:t>
      </w:r>
      <w:bookmarkStart w:id="0" w:name="_GoBack"/>
      <w:bookmarkEnd w:id="0"/>
    </w:p>
    <w:p w14:paraId="2E14C291" w14:textId="750408C2" w:rsidR="00B43131" w:rsidRDefault="001721CC">
      <w:pPr>
        <w:pStyle w:val="TOC1"/>
        <w:rPr>
          <w:rFonts w:asciiTheme="minorHAnsi" w:eastAsiaTheme="minorEastAsia" w:hAnsiTheme="minorHAnsi" w:cstheme="minorBidi"/>
          <w:b w:val="0"/>
          <w:caps w:val="0"/>
          <w:noProof/>
          <w:sz w:val="22"/>
          <w:szCs w:val="22"/>
          <w:lang w:val="en-GB" w:eastAsia="en-GB" w:bidi="ar-SA"/>
        </w:rPr>
      </w:pPr>
      <w:r>
        <w:rPr>
          <w:szCs w:val="24"/>
        </w:rPr>
        <w:fldChar w:fldCharType="begin"/>
      </w:r>
      <w:r>
        <w:rPr>
          <w:szCs w:val="24"/>
        </w:rPr>
        <w:instrText xml:space="preserve"> TOC \o "1-3" \h \z \u </w:instrText>
      </w:r>
      <w:r>
        <w:rPr>
          <w:szCs w:val="24"/>
        </w:rPr>
        <w:fldChar w:fldCharType="separate"/>
      </w:r>
      <w:hyperlink w:anchor="_Toc30751946" w:history="1">
        <w:r w:rsidR="00B43131" w:rsidRPr="00CC4F72">
          <w:rPr>
            <w:rStyle w:val="Hyperlink"/>
            <w:noProof/>
          </w:rPr>
          <w:t>PRILOGA I – SPLOŠNI POGOJI</w:t>
        </w:r>
        <w:r w:rsidR="00B43131">
          <w:rPr>
            <w:noProof/>
            <w:webHidden/>
          </w:rPr>
          <w:tab/>
        </w:r>
        <w:r w:rsidR="00B43131">
          <w:rPr>
            <w:noProof/>
            <w:webHidden/>
          </w:rPr>
          <w:fldChar w:fldCharType="begin"/>
        </w:r>
        <w:r w:rsidR="00B43131">
          <w:rPr>
            <w:noProof/>
            <w:webHidden/>
          </w:rPr>
          <w:instrText xml:space="preserve"> PAGEREF _Toc30751946 \h </w:instrText>
        </w:r>
        <w:r w:rsidR="00B43131">
          <w:rPr>
            <w:noProof/>
            <w:webHidden/>
          </w:rPr>
        </w:r>
        <w:r w:rsidR="00B43131">
          <w:rPr>
            <w:noProof/>
            <w:webHidden/>
          </w:rPr>
          <w:fldChar w:fldCharType="separate"/>
        </w:r>
        <w:r w:rsidR="00B43131">
          <w:rPr>
            <w:noProof/>
            <w:webHidden/>
          </w:rPr>
          <w:t>5</w:t>
        </w:r>
        <w:r w:rsidR="00B43131">
          <w:rPr>
            <w:noProof/>
            <w:webHidden/>
          </w:rPr>
          <w:fldChar w:fldCharType="end"/>
        </w:r>
      </w:hyperlink>
    </w:p>
    <w:p w14:paraId="6D78F0C4" w14:textId="46132424" w:rsidR="00B43131" w:rsidRDefault="002A53B9">
      <w:pPr>
        <w:pStyle w:val="TOC1"/>
        <w:rPr>
          <w:rFonts w:asciiTheme="minorHAnsi" w:eastAsiaTheme="minorEastAsia" w:hAnsiTheme="minorHAnsi" w:cstheme="minorBidi"/>
          <w:b w:val="0"/>
          <w:caps w:val="0"/>
          <w:noProof/>
          <w:sz w:val="22"/>
          <w:szCs w:val="22"/>
          <w:lang w:val="en-GB" w:eastAsia="en-GB" w:bidi="ar-SA"/>
        </w:rPr>
      </w:pPr>
      <w:hyperlink w:anchor="_Toc30751947" w:history="1">
        <w:r w:rsidR="00B43131" w:rsidRPr="00CC4F72">
          <w:rPr>
            <w:rStyle w:val="Hyperlink"/>
            <w:noProof/>
          </w:rPr>
          <w:t>DEL A – PRAVNE IN UPRAVNE DOLOČBE</w:t>
        </w:r>
        <w:r w:rsidR="00B43131">
          <w:rPr>
            <w:noProof/>
            <w:webHidden/>
          </w:rPr>
          <w:tab/>
        </w:r>
        <w:r w:rsidR="00B43131">
          <w:rPr>
            <w:noProof/>
            <w:webHidden/>
          </w:rPr>
          <w:fldChar w:fldCharType="begin"/>
        </w:r>
        <w:r w:rsidR="00B43131">
          <w:rPr>
            <w:noProof/>
            <w:webHidden/>
          </w:rPr>
          <w:instrText xml:space="preserve"> PAGEREF _Toc30751947 \h </w:instrText>
        </w:r>
        <w:r w:rsidR="00B43131">
          <w:rPr>
            <w:noProof/>
            <w:webHidden/>
          </w:rPr>
        </w:r>
        <w:r w:rsidR="00B43131">
          <w:rPr>
            <w:noProof/>
            <w:webHidden/>
          </w:rPr>
          <w:fldChar w:fldCharType="separate"/>
        </w:r>
        <w:r w:rsidR="00B43131">
          <w:rPr>
            <w:noProof/>
            <w:webHidden/>
          </w:rPr>
          <w:t>5</w:t>
        </w:r>
        <w:r w:rsidR="00B43131">
          <w:rPr>
            <w:noProof/>
            <w:webHidden/>
          </w:rPr>
          <w:fldChar w:fldCharType="end"/>
        </w:r>
      </w:hyperlink>
    </w:p>
    <w:p w14:paraId="53B982F7" w14:textId="20597860" w:rsidR="00B43131" w:rsidRDefault="002A53B9">
      <w:pPr>
        <w:pStyle w:val="TOC2"/>
        <w:rPr>
          <w:rFonts w:asciiTheme="minorHAnsi" w:eastAsiaTheme="minorEastAsia" w:hAnsiTheme="minorHAnsi" w:cstheme="minorBidi"/>
          <w:noProof/>
          <w:sz w:val="22"/>
          <w:szCs w:val="22"/>
          <w:lang w:val="en-GB" w:eastAsia="en-GB" w:bidi="ar-SA"/>
        </w:rPr>
      </w:pPr>
      <w:hyperlink w:anchor="_Toc30751948" w:history="1">
        <w:r w:rsidR="00B43131" w:rsidRPr="00CC4F72">
          <w:rPr>
            <w:rStyle w:val="Hyperlink"/>
            <w:noProof/>
          </w:rPr>
          <w:t>ČLEN II.1 – OPREDELITVE POJMOV</w:t>
        </w:r>
        <w:r w:rsidR="00B43131">
          <w:rPr>
            <w:noProof/>
            <w:webHidden/>
          </w:rPr>
          <w:tab/>
        </w:r>
        <w:r w:rsidR="00B43131">
          <w:rPr>
            <w:noProof/>
            <w:webHidden/>
          </w:rPr>
          <w:fldChar w:fldCharType="begin"/>
        </w:r>
        <w:r w:rsidR="00B43131">
          <w:rPr>
            <w:noProof/>
            <w:webHidden/>
          </w:rPr>
          <w:instrText xml:space="preserve"> PAGEREF _Toc30751948 \h </w:instrText>
        </w:r>
        <w:r w:rsidR="00B43131">
          <w:rPr>
            <w:noProof/>
            <w:webHidden/>
          </w:rPr>
        </w:r>
        <w:r w:rsidR="00B43131">
          <w:rPr>
            <w:noProof/>
            <w:webHidden/>
          </w:rPr>
          <w:fldChar w:fldCharType="separate"/>
        </w:r>
        <w:r w:rsidR="00B43131">
          <w:rPr>
            <w:noProof/>
            <w:webHidden/>
          </w:rPr>
          <w:t>5</w:t>
        </w:r>
        <w:r w:rsidR="00B43131">
          <w:rPr>
            <w:noProof/>
            <w:webHidden/>
          </w:rPr>
          <w:fldChar w:fldCharType="end"/>
        </w:r>
      </w:hyperlink>
    </w:p>
    <w:p w14:paraId="0EE23000" w14:textId="6ADDA0D4" w:rsidR="00B43131" w:rsidRDefault="002A53B9">
      <w:pPr>
        <w:pStyle w:val="TOC2"/>
        <w:rPr>
          <w:rFonts w:asciiTheme="minorHAnsi" w:eastAsiaTheme="minorEastAsia" w:hAnsiTheme="minorHAnsi" w:cstheme="minorBidi"/>
          <w:noProof/>
          <w:sz w:val="22"/>
          <w:szCs w:val="22"/>
          <w:lang w:val="en-GB" w:eastAsia="en-GB" w:bidi="ar-SA"/>
        </w:rPr>
      </w:pPr>
      <w:hyperlink w:anchor="_Toc30751949" w:history="1">
        <w:r w:rsidR="00B43131" w:rsidRPr="00CC4F72">
          <w:rPr>
            <w:rStyle w:val="Hyperlink"/>
            <w:noProof/>
          </w:rPr>
          <w:t>ČLEN II.2 – SPLOŠNE OBVEZNOSTI UPRAVIČENCA</w:t>
        </w:r>
        <w:r w:rsidR="00B43131">
          <w:rPr>
            <w:noProof/>
            <w:webHidden/>
          </w:rPr>
          <w:tab/>
        </w:r>
        <w:r w:rsidR="00B43131">
          <w:rPr>
            <w:noProof/>
            <w:webHidden/>
          </w:rPr>
          <w:fldChar w:fldCharType="begin"/>
        </w:r>
        <w:r w:rsidR="00B43131">
          <w:rPr>
            <w:noProof/>
            <w:webHidden/>
          </w:rPr>
          <w:instrText xml:space="preserve"> PAGEREF _Toc30751949 \h </w:instrText>
        </w:r>
        <w:r w:rsidR="00B43131">
          <w:rPr>
            <w:noProof/>
            <w:webHidden/>
          </w:rPr>
        </w:r>
        <w:r w:rsidR="00B43131">
          <w:rPr>
            <w:noProof/>
            <w:webHidden/>
          </w:rPr>
          <w:fldChar w:fldCharType="separate"/>
        </w:r>
        <w:r w:rsidR="00B43131">
          <w:rPr>
            <w:noProof/>
            <w:webHidden/>
          </w:rPr>
          <w:t>6</w:t>
        </w:r>
        <w:r w:rsidR="00B43131">
          <w:rPr>
            <w:noProof/>
            <w:webHidden/>
          </w:rPr>
          <w:fldChar w:fldCharType="end"/>
        </w:r>
      </w:hyperlink>
    </w:p>
    <w:p w14:paraId="1658238E" w14:textId="49C37E38" w:rsidR="00B43131" w:rsidRDefault="002A53B9">
      <w:pPr>
        <w:pStyle w:val="TOC2"/>
        <w:rPr>
          <w:rFonts w:asciiTheme="minorHAnsi" w:eastAsiaTheme="minorEastAsia" w:hAnsiTheme="minorHAnsi" w:cstheme="minorBidi"/>
          <w:noProof/>
          <w:sz w:val="22"/>
          <w:szCs w:val="22"/>
          <w:lang w:val="en-GB" w:eastAsia="en-GB" w:bidi="ar-SA"/>
        </w:rPr>
      </w:pPr>
      <w:hyperlink w:anchor="_Toc30751950" w:history="1">
        <w:r w:rsidR="00B43131" w:rsidRPr="00CC4F72">
          <w:rPr>
            <w:rStyle w:val="Hyperlink"/>
            <w:noProof/>
          </w:rPr>
          <w:t>ČLEN II.3 – KOMUNIKACIJA MED STRANKAMA</w:t>
        </w:r>
        <w:r w:rsidR="00B43131">
          <w:rPr>
            <w:noProof/>
            <w:webHidden/>
          </w:rPr>
          <w:tab/>
        </w:r>
        <w:r w:rsidR="00B43131">
          <w:rPr>
            <w:noProof/>
            <w:webHidden/>
          </w:rPr>
          <w:fldChar w:fldCharType="begin"/>
        </w:r>
        <w:r w:rsidR="00B43131">
          <w:rPr>
            <w:noProof/>
            <w:webHidden/>
          </w:rPr>
          <w:instrText xml:space="preserve"> PAGEREF _Toc30751950 \h </w:instrText>
        </w:r>
        <w:r w:rsidR="00B43131">
          <w:rPr>
            <w:noProof/>
            <w:webHidden/>
          </w:rPr>
        </w:r>
        <w:r w:rsidR="00B43131">
          <w:rPr>
            <w:noProof/>
            <w:webHidden/>
          </w:rPr>
          <w:fldChar w:fldCharType="separate"/>
        </w:r>
        <w:r w:rsidR="00B43131">
          <w:rPr>
            <w:noProof/>
            <w:webHidden/>
          </w:rPr>
          <w:t>7</w:t>
        </w:r>
        <w:r w:rsidR="00B43131">
          <w:rPr>
            <w:noProof/>
            <w:webHidden/>
          </w:rPr>
          <w:fldChar w:fldCharType="end"/>
        </w:r>
      </w:hyperlink>
    </w:p>
    <w:p w14:paraId="4E58B0DD" w14:textId="0FD3133F" w:rsidR="00B43131" w:rsidRDefault="002A53B9">
      <w:pPr>
        <w:pStyle w:val="TOC3"/>
        <w:rPr>
          <w:rFonts w:asciiTheme="minorHAnsi" w:eastAsiaTheme="minorEastAsia" w:hAnsiTheme="minorHAnsi" w:cstheme="minorBidi"/>
          <w:noProof/>
          <w:sz w:val="22"/>
          <w:szCs w:val="22"/>
          <w:lang w:val="en-GB" w:eastAsia="en-GB" w:bidi="ar-SA"/>
        </w:rPr>
      </w:pPr>
      <w:hyperlink w:anchor="_Toc30751951" w:history="1">
        <w:r w:rsidR="00B43131" w:rsidRPr="00CC4F72">
          <w:rPr>
            <w:rStyle w:val="Hyperlink"/>
            <w:noProof/>
          </w:rPr>
          <w:t>II.3.1 Načini in sredstva komunikacije</w:t>
        </w:r>
        <w:r w:rsidR="00B43131">
          <w:rPr>
            <w:noProof/>
            <w:webHidden/>
          </w:rPr>
          <w:tab/>
        </w:r>
        <w:r w:rsidR="00B43131">
          <w:rPr>
            <w:noProof/>
            <w:webHidden/>
          </w:rPr>
          <w:fldChar w:fldCharType="begin"/>
        </w:r>
        <w:r w:rsidR="00B43131">
          <w:rPr>
            <w:noProof/>
            <w:webHidden/>
          </w:rPr>
          <w:instrText xml:space="preserve"> PAGEREF _Toc30751951 \h </w:instrText>
        </w:r>
        <w:r w:rsidR="00B43131">
          <w:rPr>
            <w:noProof/>
            <w:webHidden/>
          </w:rPr>
        </w:r>
        <w:r w:rsidR="00B43131">
          <w:rPr>
            <w:noProof/>
            <w:webHidden/>
          </w:rPr>
          <w:fldChar w:fldCharType="separate"/>
        </w:r>
        <w:r w:rsidR="00B43131">
          <w:rPr>
            <w:noProof/>
            <w:webHidden/>
          </w:rPr>
          <w:t>7</w:t>
        </w:r>
        <w:r w:rsidR="00B43131">
          <w:rPr>
            <w:noProof/>
            <w:webHidden/>
          </w:rPr>
          <w:fldChar w:fldCharType="end"/>
        </w:r>
      </w:hyperlink>
    </w:p>
    <w:p w14:paraId="3B85E38E" w14:textId="5A3E4669" w:rsidR="00B43131" w:rsidRDefault="002A53B9">
      <w:pPr>
        <w:pStyle w:val="TOC3"/>
        <w:rPr>
          <w:rFonts w:asciiTheme="minorHAnsi" w:eastAsiaTheme="minorEastAsia" w:hAnsiTheme="minorHAnsi" w:cstheme="minorBidi"/>
          <w:noProof/>
          <w:sz w:val="22"/>
          <w:szCs w:val="22"/>
          <w:lang w:val="en-GB" w:eastAsia="en-GB" w:bidi="ar-SA"/>
        </w:rPr>
      </w:pPr>
      <w:hyperlink w:anchor="_Toc30751952" w:history="1">
        <w:r w:rsidR="00B43131" w:rsidRPr="00CC4F72">
          <w:rPr>
            <w:rStyle w:val="Hyperlink"/>
            <w:noProof/>
          </w:rPr>
          <w:t>II.3.2 Datum sporočil</w:t>
        </w:r>
        <w:r w:rsidR="00B43131">
          <w:rPr>
            <w:noProof/>
            <w:webHidden/>
          </w:rPr>
          <w:tab/>
        </w:r>
        <w:r w:rsidR="00B43131">
          <w:rPr>
            <w:noProof/>
            <w:webHidden/>
          </w:rPr>
          <w:fldChar w:fldCharType="begin"/>
        </w:r>
        <w:r w:rsidR="00B43131">
          <w:rPr>
            <w:noProof/>
            <w:webHidden/>
          </w:rPr>
          <w:instrText xml:space="preserve"> PAGEREF _Toc30751952 \h </w:instrText>
        </w:r>
        <w:r w:rsidR="00B43131">
          <w:rPr>
            <w:noProof/>
            <w:webHidden/>
          </w:rPr>
        </w:r>
        <w:r w:rsidR="00B43131">
          <w:rPr>
            <w:noProof/>
            <w:webHidden/>
          </w:rPr>
          <w:fldChar w:fldCharType="separate"/>
        </w:r>
        <w:r w:rsidR="00B43131">
          <w:rPr>
            <w:noProof/>
            <w:webHidden/>
          </w:rPr>
          <w:t>7</w:t>
        </w:r>
        <w:r w:rsidR="00B43131">
          <w:rPr>
            <w:noProof/>
            <w:webHidden/>
          </w:rPr>
          <w:fldChar w:fldCharType="end"/>
        </w:r>
      </w:hyperlink>
    </w:p>
    <w:p w14:paraId="1A778D30" w14:textId="1347AB23" w:rsidR="00B43131" w:rsidRDefault="002A53B9">
      <w:pPr>
        <w:pStyle w:val="TOC2"/>
        <w:rPr>
          <w:rFonts w:asciiTheme="minorHAnsi" w:eastAsiaTheme="minorEastAsia" w:hAnsiTheme="minorHAnsi" w:cstheme="minorBidi"/>
          <w:noProof/>
          <w:sz w:val="22"/>
          <w:szCs w:val="22"/>
          <w:lang w:val="en-GB" w:eastAsia="en-GB" w:bidi="ar-SA"/>
        </w:rPr>
      </w:pPr>
      <w:hyperlink w:anchor="_Toc30751953" w:history="1">
        <w:r w:rsidR="00B43131" w:rsidRPr="00CC4F72">
          <w:rPr>
            <w:rStyle w:val="Hyperlink"/>
            <w:noProof/>
          </w:rPr>
          <w:t>ČLEN II.4 – ODŠKODNINSKA ODGOVORNOST</w:t>
        </w:r>
        <w:r w:rsidR="00B43131">
          <w:rPr>
            <w:noProof/>
            <w:webHidden/>
          </w:rPr>
          <w:tab/>
        </w:r>
        <w:r w:rsidR="00B43131">
          <w:rPr>
            <w:noProof/>
            <w:webHidden/>
          </w:rPr>
          <w:fldChar w:fldCharType="begin"/>
        </w:r>
        <w:r w:rsidR="00B43131">
          <w:rPr>
            <w:noProof/>
            <w:webHidden/>
          </w:rPr>
          <w:instrText xml:space="preserve"> PAGEREF _Toc30751953 \h </w:instrText>
        </w:r>
        <w:r w:rsidR="00B43131">
          <w:rPr>
            <w:noProof/>
            <w:webHidden/>
          </w:rPr>
        </w:r>
        <w:r w:rsidR="00B43131">
          <w:rPr>
            <w:noProof/>
            <w:webHidden/>
          </w:rPr>
          <w:fldChar w:fldCharType="separate"/>
        </w:r>
        <w:r w:rsidR="00B43131">
          <w:rPr>
            <w:noProof/>
            <w:webHidden/>
          </w:rPr>
          <w:t>7</w:t>
        </w:r>
        <w:r w:rsidR="00B43131">
          <w:rPr>
            <w:noProof/>
            <w:webHidden/>
          </w:rPr>
          <w:fldChar w:fldCharType="end"/>
        </w:r>
      </w:hyperlink>
    </w:p>
    <w:p w14:paraId="777032AA" w14:textId="60666D69" w:rsidR="00B43131" w:rsidRDefault="002A53B9">
      <w:pPr>
        <w:pStyle w:val="TOC2"/>
        <w:rPr>
          <w:rFonts w:asciiTheme="minorHAnsi" w:eastAsiaTheme="minorEastAsia" w:hAnsiTheme="minorHAnsi" w:cstheme="minorBidi"/>
          <w:noProof/>
          <w:sz w:val="22"/>
          <w:szCs w:val="22"/>
          <w:lang w:val="en-GB" w:eastAsia="en-GB" w:bidi="ar-SA"/>
        </w:rPr>
      </w:pPr>
      <w:hyperlink w:anchor="_Toc30751954" w:history="1">
        <w:r w:rsidR="00B43131" w:rsidRPr="00CC4F72">
          <w:rPr>
            <w:rStyle w:val="Hyperlink"/>
            <w:noProof/>
          </w:rPr>
          <w:t>ČLEN II.5 – NAVZKRIŽJE INTERESOV</w:t>
        </w:r>
        <w:r w:rsidR="00B43131">
          <w:rPr>
            <w:noProof/>
            <w:webHidden/>
          </w:rPr>
          <w:tab/>
        </w:r>
        <w:r w:rsidR="00B43131">
          <w:rPr>
            <w:noProof/>
            <w:webHidden/>
          </w:rPr>
          <w:fldChar w:fldCharType="begin"/>
        </w:r>
        <w:r w:rsidR="00B43131">
          <w:rPr>
            <w:noProof/>
            <w:webHidden/>
          </w:rPr>
          <w:instrText xml:space="preserve"> PAGEREF _Toc30751954 \h </w:instrText>
        </w:r>
        <w:r w:rsidR="00B43131">
          <w:rPr>
            <w:noProof/>
            <w:webHidden/>
          </w:rPr>
        </w:r>
        <w:r w:rsidR="00B43131">
          <w:rPr>
            <w:noProof/>
            <w:webHidden/>
          </w:rPr>
          <w:fldChar w:fldCharType="separate"/>
        </w:r>
        <w:r w:rsidR="00B43131">
          <w:rPr>
            <w:noProof/>
            <w:webHidden/>
          </w:rPr>
          <w:t>7</w:t>
        </w:r>
        <w:r w:rsidR="00B43131">
          <w:rPr>
            <w:noProof/>
            <w:webHidden/>
          </w:rPr>
          <w:fldChar w:fldCharType="end"/>
        </w:r>
      </w:hyperlink>
    </w:p>
    <w:p w14:paraId="2654A7DC" w14:textId="2A239D42" w:rsidR="00B43131" w:rsidRDefault="002A53B9">
      <w:pPr>
        <w:pStyle w:val="TOC2"/>
        <w:rPr>
          <w:rFonts w:asciiTheme="minorHAnsi" w:eastAsiaTheme="minorEastAsia" w:hAnsiTheme="minorHAnsi" w:cstheme="minorBidi"/>
          <w:noProof/>
          <w:sz w:val="22"/>
          <w:szCs w:val="22"/>
          <w:lang w:val="en-GB" w:eastAsia="en-GB" w:bidi="ar-SA"/>
        </w:rPr>
      </w:pPr>
      <w:hyperlink w:anchor="_Toc30751955" w:history="1">
        <w:r w:rsidR="00B43131" w:rsidRPr="00CC4F72">
          <w:rPr>
            <w:rStyle w:val="Hyperlink"/>
            <w:noProof/>
          </w:rPr>
          <w:t>ČLEN II.6 – ZAUPNOST</w:t>
        </w:r>
        <w:r w:rsidR="00B43131">
          <w:rPr>
            <w:noProof/>
            <w:webHidden/>
          </w:rPr>
          <w:tab/>
        </w:r>
        <w:r w:rsidR="00B43131">
          <w:rPr>
            <w:noProof/>
            <w:webHidden/>
          </w:rPr>
          <w:fldChar w:fldCharType="begin"/>
        </w:r>
        <w:r w:rsidR="00B43131">
          <w:rPr>
            <w:noProof/>
            <w:webHidden/>
          </w:rPr>
          <w:instrText xml:space="preserve"> PAGEREF _Toc30751955 \h </w:instrText>
        </w:r>
        <w:r w:rsidR="00B43131">
          <w:rPr>
            <w:noProof/>
            <w:webHidden/>
          </w:rPr>
        </w:r>
        <w:r w:rsidR="00B43131">
          <w:rPr>
            <w:noProof/>
            <w:webHidden/>
          </w:rPr>
          <w:fldChar w:fldCharType="separate"/>
        </w:r>
        <w:r w:rsidR="00B43131">
          <w:rPr>
            <w:noProof/>
            <w:webHidden/>
          </w:rPr>
          <w:t>8</w:t>
        </w:r>
        <w:r w:rsidR="00B43131">
          <w:rPr>
            <w:noProof/>
            <w:webHidden/>
          </w:rPr>
          <w:fldChar w:fldCharType="end"/>
        </w:r>
      </w:hyperlink>
    </w:p>
    <w:p w14:paraId="18B85F64" w14:textId="7CA7E6EF" w:rsidR="00B43131" w:rsidRDefault="002A53B9">
      <w:pPr>
        <w:pStyle w:val="TOC2"/>
        <w:rPr>
          <w:rFonts w:asciiTheme="minorHAnsi" w:eastAsiaTheme="minorEastAsia" w:hAnsiTheme="minorHAnsi" w:cstheme="minorBidi"/>
          <w:noProof/>
          <w:sz w:val="22"/>
          <w:szCs w:val="22"/>
          <w:lang w:val="en-GB" w:eastAsia="en-GB" w:bidi="ar-SA"/>
        </w:rPr>
      </w:pPr>
      <w:hyperlink w:anchor="_Toc30751956" w:history="1">
        <w:r w:rsidR="00B43131" w:rsidRPr="00CC4F72">
          <w:rPr>
            <w:rStyle w:val="Hyperlink"/>
            <w:noProof/>
          </w:rPr>
          <w:t>ČLEN II.7 – OBDELAVA OSEBNIH PODATKOV</w:t>
        </w:r>
        <w:r w:rsidR="00B43131">
          <w:rPr>
            <w:noProof/>
            <w:webHidden/>
          </w:rPr>
          <w:tab/>
        </w:r>
        <w:r w:rsidR="00B43131">
          <w:rPr>
            <w:noProof/>
            <w:webHidden/>
          </w:rPr>
          <w:fldChar w:fldCharType="begin"/>
        </w:r>
        <w:r w:rsidR="00B43131">
          <w:rPr>
            <w:noProof/>
            <w:webHidden/>
          </w:rPr>
          <w:instrText xml:space="preserve"> PAGEREF _Toc30751956 \h </w:instrText>
        </w:r>
        <w:r w:rsidR="00B43131">
          <w:rPr>
            <w:noProof/>
            <w:webHidden/>
          </w:rPr>
        </w:r>
        <w:r w:rsidR="00B43131">
          <w:rPr>
            <w:noProof/>
            <w:webHidden/>
          </w:rPr>
          <w:fldChar w:fldCharType="separate"/>
        </w:r>
        <w:r w:rsidR="00B43131">
          <w:rPr>
            <w:noProof/>
            <w:webHidden/>
          </w:rPr>
          <w:t>8</w:t>
        </w:r>
        <w:r w:rsidR="00B43131">
          <w:rPr>
            <w:noProof/>
            <w:webHidden/>
          </w:rPr>
          <w:fldChar w:fldCharType="end"/>
        </w:r>
      </w:hyperlink>
    </w:p>
    <w:p w14:paraId="74304934" w14:textId="521AAA63" w:rsidR="00B43131" w:rsidRDefault="002A53B9">
      <w:pPr>
        <w:pStyle w:val="TOC3"/>
        <w:tabs>
          <w:tab w:val="left" w:pos="1916"/>
        </w:tabs>
        <w:rPr>
          <w:rFonts w:asciiTheme="minorHAnsi" w:eastAsiaTheme="minorEastAsia" w:hAnsiTheme="minorHAnsi" w:cstheme="minorBidi"/>
          <w:noProof/>
          <w:sz w:val="22"/>
          <w:szCs w:val="22"/>
          <w:lang w:val="en-GB" w:eastAsia="en-GB" w:bidi="ar-SA"/>
        </w:rPr>
      </w:pPr>
      <w:hyperlink w:anchor="_Toc30751957" w:history="1">
        <w:r w:rsidR="00B43131" w:rsidRPr="00CC4F72">
          <w:rPr>
            <w:rStyle w:val="Hyperlink"/>
            <w:noProof/>
          </w:rPr>
          <w:t>II.7.1</w:t>
        </w:r>
        <w:r w:rsidR="00B43131">
          <w:rPr>
            <w:rFonts w:asciiTheme="minorHAnsi" w:eastAsiaTheme="minorEastAsia" w:hAnsiTheme="minorHAnsi" w:cstheme="minorBidi"/>
            <w:noProof/>
            <w:sz w:val="22"/>
            <w:szCs w:val="22"/>
            <w:lang w:val="en-GB" w:eastAsia="en-GB" w:bidi="ar-SA"/>
          </w:rPr>
          <w:tab/>
        </w:r>
        <w:r w:rsidR="00B43131" w:rsidRPr="00CC4F72">
          <w:rPr>
            <w:rStyle w:val="Hyperlink"/>
            <w:noProof/>
          </w:rPr>
          <w:t>Obdelava osebnih podatkov s strani Komisije</w:t>
        </w:r>
        <w:r w:rsidR="00B43131">
          <w:rPr>
            <w:noProof/>
            <w:webHidden/>
          </w:rPr>
          <w:tab/>
        </w:r>
        <w:r w:rsidR="00B43131">
          <w:rPr>
            <w:noProof/>
            <w:webHidden/>
          </w:rPr>
          <w:fldChar w:fldCharType="begin"/>
        </w:r>
        <w:r w:rsidR="00B43131">
          <w:rPr>
            <w:noProof/>
            <w:webHidden/>
          </w:rPr>
          <w:instrText xml:space="preserve"> PAGEREF _Toc30751957 \h </w:instrText>
        </w:r>
        <w:r w:rsidR="00B43131">
          <w:rPr>
            <w:noProof/>
            <w:webHidden/>
          </w:rPr>
        </w:r>
        <w:r w:rsidR="00B43131">
          <w:rPr>
            <w:noProof/>
            <w:webHidden/>
          </w:rPr>
          <w:fldChar w:fldCharType="separate"/>
        </w:r>
        <w:r w:rsidR="00B43131">
          <w:rPr>
            <w:noProof/>
            <w:webHidden/>
          </w:rPr>
          <w:t>8</w:t>
        </w:r>
        <w:r w:rsidR="00B43131">
          <w:rPr>
            <w:noProof/>
            <w:webHidden/>
          </w:rPr>
          <w:fldChar w:fldCharType="end"/>
        </w:r>
      </w:hyperlink>
    </w:p>
    <w:p w14:paraId="7B7553D6" w14:textId="3724741B" w:rsidR="00B43131" w:rsidRDefault="002A53B9">
      <w:pPr>
        <w:pStyle w:val="TOC3"/>
        <w:tabs>
          <w:tab w:val="left" w:pos="1916"/>
        </w:tabs>
        <w:rPr>
          <w:rFonts w:asciiTheme="minorHAnsi" w:eastAsiaTheme="minorEastAsia" w:hAnsiTheme="minorHAnsi" w:cstheme="minorBidi"/>
          <w:noProof/>
          <w:sz w:val="22"/>
          <w:szCs w:val="22"/>
          <w:lang w:val="en-GB" w:eastAsia="en-GB" w:bidi="ar-SA"/>
        </w:rPr>
      </w:pPr>
      <w:hyperlink w:anchor="_Toc30751958" w:history="1">
        <w:r w:rsidR="00B43131" w:rsidRPr="00CC4F72">
          <w:rPr>
            <w:rStyle w:val="Hyperlink"/>
            <w:noProof/>
          </w:rPr>
          <w:t>II.7.2</w:t>
        </w:r>
        <w:r w:rsidR="00B43131">
          <w:rPr>
            <w:rFonts w:asciiTheme="minorHAnsi" w:eastAsiaTheme="minorEastAsia" w:hAnsiTheme="minorHAnsi" w:cstheme="minorBidi"/>
            <w:noProof/>
            <w:sz w:val="22"/>
            <w:szCs w:val="22"/>
            <w:lang w:val="en-GB" w:eastAsia="en-GB" w:bidi="ar-SA"/>
          </w:rPr>
          <w:tab/>
        </w:r>
        <w:r w:rsidR="00B43131" w:rsidRPr="00CC4F72">
          <w:rPr>
            <w:rStyle w:val="Hyperlink"/>
            <w:noProof/>
          </w:rPr>
          <w:t>Obdelava osebnih podatkov s strani upravičenca</w:t>
        </w:r>
        <w:r w:rsidR="00B43131">
          <w:rPr>
            <w:noProof/>
            <w:webHidden/>
          </w:rPr>
          <w:tab/>
        </w:r>
        <w:r w:rsidR="00B43131">
          <w:rPr>
            <w:noProof/>
            <w:webHidden/>
          </w:rPr>
          <w:fldChar w:fldCharType="begin"/>
        </w:r>
        <w:r w:rsidR="00B43131">
          <w:rPr>
            <w:noProof/>
            <w:webHidden/>
          </w:rPr>
          <w:instrText xml:space="preserve"> PAGEREF _Toc30751958 \h </w:instrText>
        </w:r>
        <w:r w:rsidR="00B43131">
          <w:rPr>
            <w:noProof/>
            <w:webHidden/>
          </w:rPr>
        </w:r>
        <w:r w:rsidR="00B43131">
          <w:rPr>
            <w:noProof/>
            <w:webHidden/>
          </w:rPr>
          <w:fldChar w:fldCharType="separate"/>
        </w:r>
        <w:r w:rsidR="00B43131">
          <w:rPr>
            <w:noProof/>
            <w:webHidden/>
          </w:rPr>
          <w:t>8</w:t>
        </w:r>
        <w:r w:rsidR="00B43131">
          <w:rPr>
            <w:noProof/>
            <w:webHidden/>
          </w:rPr>
          <w:fldChar w:fldCharType="end"/>
        </w:r>
      </w:hyperlink>
    </w:p>
    <w:p w14:paraId="5F1E33FF" w14:textId="3FB28B0D" w:rsidR="00B43131" w:rsidRDefault="002A53B9">
      <w:pPr>
        <w:pStyle w:val="TOC2"/>
        <w:rPr>
          <w:rFonts w:asciiTheme="minorHAnsi" w:eastAsiaTheme="minorEastAsia" w:hAnsiTheme="minorHAnsi" w:cstheme="minorBidi"/>
          <w:noProof/>
          <w:sz w:val="22"/>
          <w:szCs w:val="22"/>
          <w:lang w:val="en-GB" w:eastAsia="en-GB" w:bidi="ar-SA"/>
        </w:rPr>
      </w:pPr>
      <w:hyperlink w:anchor="_Toc30751959" w:history="1">
        <w:r w:rsidR="00B43131" w:rsidRPr="00CC4F72">
          <w:rPr>
            <w:rStyle w:val="Hyperlink"/>
            <w:noProof/>
          </w:rPr>
          <w:t>ČLEN II.8 – PREPOZNAVNOST FINANCIRANJA UNIJE</w:t>
        </w:r>
        <w:r w:rsidR="00B43131">
          <w:rPr>
            <w:noProof/>
            <w:webHidden/>
          </w:rPr>
          <w:tab/>
        </w:r>
        <w:r w:rsidR="00B43131">
          <w:rPr>
            <w:noProof/>
            <w:webHidden/>
          </w:rPr>
          <w:fldChar w:fldCharType="begin"/>
        </w:r>
        <w:r w:rsidR="00B43131">
          <w:rPr>
            <w:noProof/>
            <w:webHidden/>
          </w:rPr>
          <w:instrText xml:space="preserve"> PAGEREF _Toc30751959 \h </w:instrText>
        </w:r>
        <w:r w:rsidR="00B43131">
          <w:rPr>
            <w:noProof/>
            <w:webHidden/>
          </w:rPr>
        </w:r>
        <w:r w:rsidR="00B43131">
          <w:rPr>
            <w:noProof/>
            <w:webHidden/>
          </w:rPr>
          <w:fldChar w:fldCharType="separate"/>
        </w:r>
        <w:r w:rsidR="00B43131">
          <w:rPr>
            <w:noProof/>
            <w:webHidden/>
          </w:rPr>
          <w:t>9</w:t>
        </w:r>
        <w:r w:rsidR="00B43131">
          <w:rPr>
            <w:noProof/>
            <w:webHidden/>
          </w:rPr>
          <w:fldChar w:fldCharType="end"/>
        </w:r>
      </w:hyperlink>
    </w:p>
    <w:p w14:paraId="24BDB633" w14:textId="32F6271C" w:rsidR="00B43131" w:rsidRDefault="002A53B9">
      <w:pPr>
        <w:pStyle w:val="TOC3"/>
        <w:tabs>
          <w:tab w:val="left" w:pos="1916"/>
        </w:tabs>
        <w:rPr>
          <w:rFonts w:asciiTheme="minorHAnsi" w:eastAsiaTheme="minorEastAsia" w:hAnsiTheme="minorHAnsi" w:cstheme="minorBidi"/>
          <w:noProof/>
          <w:sz w:val="22"/>
          <w:szCs w:val="22"/>
          <w:lang w:val="en-GB" w:eastAsia="en-GB" w:bidi="ar-SA"/>
        </w:rPr>
      </w:pPr>
      <w:hyperlink w:anchor="_Toc30751960" w:history="1">
        <w:r w:rsidR="00B43131" w:rsidRPr="00CC4F72">
          <w:rPr>
            <w:rStyle w:val="Hyperlink"/>
            <w:noProof/>
          </w:rPr>
          <w:t>II.8.1</w:t>
        </w:r>
        <w:r w:rsidR="00B43131">
          <w:rPr>
            <w:rFonts w:asciiTheme="minorHAnsi" w:eastAsiaTheme="minorEastAsia" w:hAnsiTheme="minorHAnsi" w:cstheme="minorBidi"/>
            <w:noProof/>
            <w:sz w:val="22"/>
            <w:szCs w:val="22"/>
            <w:lang w:val="en-GB" w:eastAsia="en-GB" w:bidi="ar-SA"/>
          </w:rPr>
          <w:tab/>
        </w:r>
        <w:r w:rsidR="00B43131" w:rsidRPr="00CC4F72">
          <w:rPr>
            <w:rStyle w:val="Hyperlink"/>
            <w:noProof/>
          </w:rPr>
          <w:t>Informacije o financiranju Unije in uporabi simbola Evropske unije</w:t>
        </w:r>
        <w:r w:rsidR="00B43131">
          <w:rPr>
            <w:noProof/>
            <w:webHidden/>
          </w:rPr>
          <w:tab/>
        </w:r>
        <w:r w:rsidR="00B43131">
          <w:rPr>
            <w:noProof/>
            <w:webHidden/>
          </w:rPr>
          <w:fldChar w:fldCharType="begin"/>
        </w:r>
        <w:r w:rsidR="00B43131">
          <w:rPr>
            <w:noProof/>
            <w:webHidden/>
          </w:rPr>
          <w:instrText xml:space="preserve"> PAGEREF _Toc30751960 \h </w:instrText>
        </w:r>
        <w:r w:rsidR="00B43131">
          <w:rPr>
            <w:noProof/>
            <w:webHidden/>
          </w:rPr>
        </w:r>
        <w:r w:rsidR="00B43131">
          <w:rPr>
            <w:noProof/>
            <w:webHidden/>
          </w:rPr>
          <w:fldChar w:fldCharType="separate"/>
        </w:r>
        <w:r w:rsidR="00B43131">
          <w:rPr>
            <w:noProof/>
            <w:webHidden/>
          </w:rPr>
          <w:t>9</w:t>
        </w:r>
        <w:r w:rsidR="00B43131">
          <w:rPr>
            <w:noProof/>
            <w:webHidden/>
          </w:rPr>
          <w:fldChar w:fldCharType="end"/>
        </w:r>
      </w:hyperlink>
    </w:p>
    <w:p w14:paraId="1D037FF9" w14:textId="53C74387" w:rsidR="00B43131" w:rsidRDefault="002A53B9">
      <w:pPr>
        <w:pStyle w:val="TOC3"/>
        <w:tabs>
          <w:tab w:val="left" w:pos="1916"/>
        </w:tabs>
        <w:rPr>
          <w:rFonts w:asciiTheme="minorHAnsi" w:eastAsiaTheme="minorEastAsia" w:hAnsiTheme="minorHAnsi" w:cstheme="minorBidi"/>
          <w:noProof/>
          <w:sz w:val="22"/>
          <w:szCs w:val="22"/>
          <w:lang w:val="en-GB" w:eastAsia="en-GB" w:bidi="ar-SA"/>
        </w:rPr>
      </w:pPr>
      <w:hyperlink w:anchor="_Toc30751961" w:history="1">
        <w:r w:rsidR="00B43131" w:rsidRPr="00CC4F72">
          <w:rPr>
            <w:rStyle w:val="Hyperlink"/>
            <w:noProof/>
          </w:rPr>
          <w:t>II.8.2</w:t>
        </w:r>
        <w:r w:rsidR="00B43131">
          <w:rPr>
            <w:rFonts w:asciiTheme="minorHAnsi" w:eastAsiaTheme="minorEastAsia" w:hAnsiTheme="minorHAnsi" w:cstheme="minorBidi"/>
            <w:noProof/>
            <w:sz w:val="22"/>
            <w:szCs w:val="22"/>
            <w:lang w:val="en-GB" w:eastAsia="en-GB" w:bidi="ar-SA"/>
          </w:rPr>
          <w:tab/>
        </w:r>
        <w:r w:rsidR="00B43131" w:rsidRPr="00CC4F72">
          <w:rPr>
            <w:rStyle w:val="Hyperlink"/>
            <w:noProof/>
          </w:rPr>
          <w:t>Izjava o izključitvi odgovornosti Komisije</w:t>
        </w:r>
        <w:r w:rsidR="00B43131">
          <w:rPr>
            <w:noProof/>
            <w:webHidden/>
          </w:rPr>
          <w:tab/>
        </w:r>
        <w:r w:rsidR="00B43131">
          <w:rPr>
            <w:noProof/>
            <w:webHidden/>
          </w:rPr>
          <w:fldChar w:fldCharType="begin"/>
        </w:r>
        <w:r w:rsidR="00B43131">
          <w:rPr>
            <w:noProof/>
            <w:webHidden/>
          </w:rPr>
          <w:instrText xml:space="preserve"> PAGEREF _Toc30751961 \h </w:instrText>
        </w:r>
        <w:r w:rsidR="00B43131">
          <w:rPr>
            <w:noProof/>
            <w:webHidden/>
          </w:rPr>
        </w:r>
        <w:r w:rsidR="00B43131">
          <w:rPr>
            <w:noProof/>
            <w:webHidden/>
          </w:rPr>
          <w:fldChar w:fldCharType="separate"/>
        </w:r>
        <w:r w:rsidR="00B43131">
          <w:rPr>
            <w:noProof/>
            <w:webHidden/>
          </w:rPr>
          <w:t>10</w:t>
        </w:r>
        <w:r w:rsidR="00B43131">
          <w:rPr>
            <w:noProof/>
            <w:webHidden/>
          </w:rPr>
          <w:fldChar w:fldCharType="end"/>
        </w:r>
      </w:hyperlink>
    </w:p>
    <w:p w14:paraId="2A5124D6" w14:textId="37F1AC10" w:rsidR="00B43131" w:rsidRDefault="002A53B9">
      <w:pPr>
        <w:pStyle w:val="TOC2"/>
        <w:rPr>
          <w:rFonts w:asciiTheme="minorHAnsi" w:eastAsiaTheme="minorEastAsia" w:hAnsiTheme="minorHAnsi" w:cstheme="minorBidi"/>
          <w:noProof/>
          <w:sz w:val="22"/>
          <w:szCs w:val="22"/>
          <w:lang w:val="en-GB" w:eastAsia="en-GB" w:bidi="ar-SA"/>
        </w:rPr>
      </w:pPr>
      <w:hyperlink w:anchor="_Toc30751962" w:history="1">
        <w:r w:rsidR="00B43131" w:rsidRPr="00CC4F72">
          <w:rPr>
            <w:rStyle w:val="Hyperlink"/>
            <w:noProof/>
          </w:rPr>
          <w:t>ČLEN II.9 – PREDHODNO OBSTOJEČE PRAVICE IN LASTNIŠTVO TER UPORABA REZULTATOV (VKLJUČNO S PRAVICAMI INTELEKTUALNE IN INDUSTRIJSKE LASTNINE)</w:t>
        </w:r>
        <w:r w:rsidR="00B43131">
          <w:rPr>
            <w:noProof/>
            <w:webHidden/>
          </w:rPr>
          <w:tab/>
        </w:r>
        <w:r w:rsidR="00B43131">
          <w:rPr>
            <w:noProof/>
            <w:webHidden/>
          </w:rPr>
          <w:fldChar w:fldCharType="begin"/>
        </w:r>
        <w:r w:rsidR="00B43131">
          <w:rPr>
            <w:noProof/>
            <w:webHidden/>
          </w:rPr>
          <w:instrText xml:space="preserve"> PAGEREF _Toc30751962 \h </w:instrText>
        </w:r>
        <w:r w:rsidR="00B43131">
          <w:rPr>
            <w:noProof/>
            <w:webHidden/>
          </w:rPr>
        </w:r>
        <w:r w:rsidR="00B43131">
          <w:rPr>
            <w:noProof/>
            <w:webHidden/>
          </w:rPr>
          <w:fldChar w:fldCharType="separate"/>
        </w:r>
        <w:r w:rsidR="00B43131">
          <w:rPr>
            <w:noProof/>
            <w:webHidden/>
          </w:rPr>
          <w:t>10</w:t>
        </w:r>
        <w:r w:rsidR="00B43131">
          <w:rPr>
            <w:noProof/>
            <w:webHidden/>
          </w:rPr>
          <w:fldChar w:fldCharType="end"/>
        </w:r>
      </w:hyperlink>
    </w:p>
    <w:p w14:paraId="05FEF41F" w14:textId="72CE1441" w:rsidR="00B43131" w:rsidRDefault="002A53B9">
      <w:pPr>
        <w:pStyle w:val="TOC3"/>
        <w:tabs>
          <w:tab w:val="left" w:pos="1916"/>
        </w:tabs>
        <w:rPr>
          <w:rFonts w:asciiTheme="minorHAnsi" w:eastAsiaTheme="minorEastAsia" w:hAnsiTheme="minorHAnsi" w:cstheme="minorBidi"/>
          <w:noProof/>
          <w:sz w:val="22"/>
          <w:szCs w:val="22"/>
          <w:lang w:val="en-GB" w:eastAsia="en-GB" w:bidi="ar-SA"/>
        </w:rPr>
      </w:pPr>
      <w:hyperlink w:anchor="_Toc30751963" w:history="1">
        <w:r w:rsidR="00B43131" w:rsidRPr="00CC4F72">
          <w:rPr>
            <w:rStyle w:val="Hyperlink"/>
            <w:noProof/>
          </w:rPr>
          <w:t>II.9.1</w:t>
        </w:r>
        <w:r w:rsidR="00B43131">
          <w:rPr>
            <w:rFonts w:asciiTheme="minorHAnsi" w:eastAsiaTheme="minorEastAsia" w:hAnsiTheme="minorHAnsi" w:cstheme="minorBidi"/>
            <w:noProof/>
            <w:sz w:val="22"/>
            <w:szCs w:val="22"/>
            <w:lang w:val="en-GB" w:eastAsia="en-GB" w:bidi="ar-SA"/>
          </w:rPr>
          <w:tab/>
        </w:r>
        <w:r w:rsidR="00B43131" w:rsidRPr="00CC4F72">
          <w:rPr>
            <w:rStyle w:val="Hyperlink"/>
            <w:noProof/>
          </w:rPr>
          <w:t>Lastništvo rezultatov s strani upravičenca</w:t>
        </w:r>
        <w:r w:rsidR="00B43131">
          <w:rPr>
            <w:noProof/>
            <w:webHidden/>
          </w:rPr>
          <w:tab/>
        </w:r>
        <w:r w:rsidR="00B43131">
          <w:rPr>
            <w:noProof/>
            <w:webHidden/>
          </w:rPr>
          <w:fldChar w:fldCharType="begin"/>
        </w:r>
        <w:r w:rsidR="00B43131">
          <w:rPr>
            <w:noProof/>
            <w:webHidden/>
          </w:rPr>
          <w:instrText xml:space="preserve"> PAGEREF _Toc30751963 \h </w:instrText>
        </w:r>
        <w:r w:rsidR="00B43131">
          <w:rPr>
            <w:noProof/>
            <w:webHidden/>
          </w:rPr>
        </w:r>
        <w:r w:rsidR="00B43131">
          <w:rPr>
            <w:noProof/>
            <w:webHidden/>
          </w:rPr>
          <w:fldChar w:fldCharType="separate"/>
        </w:r>
        <w:r w:rsidR="00B43131">
          <w:rPr>
            <w:noProof/>
            <w:webHidden/>
          </w:rPr>
          <w:t>10</w:t>
        </w:r>
        <w:r w:rsidR="00B43131">
          <w:rPr>
            <w:noProof/>
            <w:webHidden/>
          </w:rPr>
          <w:fldChar w:fldCharType="end"/>
        </w:r>
      </w:hyperlink>
    </w:p>
    <w:p w14:paraId="20E7FC97" w14:textId="3020F7B6" w:rsidR="00B43131" w:rsidRDefault="002A53B9">
      <w:pPr>
        <w:pStyle w:val="TOC3"/>
        <w:tabs>
          <w:tab w:val="left" w:pos="1916"/>
        </w:tabs>
        <w:rPr>
          <w:rFonts w:asciiTheme="minorHAnsi" w:eastAsiaTheme="minorEastAsia" w:hAnsiTheme="minorHAnsi" w:cstheme="minorBidi"/>
          <w:noProof/>
          <w:sz w:val="22"/>
          <w:szCs w:val="22"/>
          <w:lang w:val="en-GB" w:eastAsia="en-GB" w:bidi="ar-SA"/>
        </w:rPr>
      </w:pPr>
      <w:hyperlink w:anchor="_Toc30751964" w:history="1">
        <w:r w:rsidR="00B43131" w:rsidRPr="00CC4F72">
          <w:rPr>
            <w:rStyle w:val="Hyperlink"/>
            <w:noProof/>
          </w:rPr>
          <w:t>II.9.2</w:t>
        </w:r>
        <w:r w:rsidR="00B43131">
          <w:rPr>
            <w:rFonts w:asciiTheme="minorHAnsi" w:eastAsiaTheme="minorEastAsia" w:hAnsiTheme="minorHAnsi" w:cstheme="minorBidi"/>
            <w:noProof/>
            <w:sz w:val="22"/>
            <w:szCs w:val="22"/>
            <w:lang w:val="en-GB" w:eastAsia="en-GB" w:bidi="ar-SA"/>
          </w:rPr>
          <w:tab/>
        </w:r>
        <w:r w:rsidR="00B43131" w:rsidRPr="00CC4F72">
          <w:rPr>
            <w:rStyle w:val="Hyperlink"/>
            <w:noProof/>
          </w:rPr>
          <w:t>Predhodno obstoječe pravice</w:t>
        </w:r>
        <w:r w:rsidR="00B43131">
          <w:rPr>
            <w:noProof/>
            <w:webHidden/>
          </w:rPr>
          <w:tab/>
        </w:r>
        <w:r w:rsidR="00B43131">
          <w:rPr>
            <w:noProof/>
            <w:webHidden/>
          </w:rPr>
          <w:fldChar w:fldCharType="begin"/>
        </w:r>
        <w:r w:rsidR="00B43131">
          <w:rPr>
            <w:noProof/>
            <w:webHidden/>
          </w:rPr>
          <w:instrText xml:space="preserve"> PAGEREF _Toc30751964 \h </w:instrText>
        </w:r>
        <w:r w:rsidR="00B43131">
          <w:rPr>
            <w:noProof/>
            <w:webHidden/>
          </w:rPr>
        </w:r>
        <w:r w:rsidR="00B43131">
          <w:rPr>
            <w:noProof/>
            <w:webHidden/>
          </w:rPr>
          <w:fldChar w:fldCharType="separate"/>
        </w:r>
        <w:r w:rsidR="00B43131">
          <w:rPr>
            <w:noProof/>
            <w:webHidden/>
          </w:rPr>
          <w:t>10</w:t>
        </w:r>
        <w:r w:rsidR="00B43131">
          <w:rPr>
            <w:noProof/>
            <w:webHidden/>
          </w:rPr>
          <w:fldChar w:fldCharType="end"/>
        </w:r>
      </w:hyperlink>
    </w:p>
    <w:p w14:paraId="7ED1F096" w14:textId="4C2F1C60" w:rsidR="00B43131" w:rsidRDefault="002A53B9">
      <w:pPr>
        <w:pStyle w:val="TOC3"/>
        <w:tabs>
          <w:tab w:val="left" w:pos="1916"/>
        </w:tabs>
        <w:rPr>
          <w:rFonts w:asciiTheme="minorHAnsi" w:eastAsiaTheme="minorEastAsia" w:hAnsiTheme="minorHAnsi" w:cstheme="minorBidi"/>
          <w:noProof/>
          <w:sz w:val="22"/>
          <w:szCs w:val="22"/>
          <w:lang w:val="en-GB" w:eastAsia="en-GB" w:bidi="ar-SA"/>
        </w:rPr>
      </w:pPr>
      <w:hyperlink w:anchor="_Toc30751965" w:history="1">
        <w:r w:rsidR="00B43131" w:rsidRPr="00CC4F72">
          <w:rPr>
            <w:rStyle w:val="Hyperlink"/>
            <w:noProof/>
          </w:rPr>
          <w:t>II.9.3</w:t>
        </w:r>
        <w:r w:rsidR="00B43131">
          <w:rPr>
            <w:rFonts w:asciiTheme="minorHAnsi" w:eastAsiaTheme="minorEastAsia" w:hAnsiTheme="minorHAnsi" w:cstheme="minorBidi"/>
            <w:noProof/>
            <w:sz w:val="22"/>
            <w:szCs w:val="22"/>
            <w:lang w:val="en-GB" w:eastAsia="en-GB" w:bidi="ar-SA"/>
          </w:rPr>
          <w:tab/>
        </w:r>
        <w:r w:rsidR="00B43131" w:rsidRPr="00CC4F72">
          <w:rPr>
            <w:rStyle w:val="Hyperlink"/>
            <w:noProof/>
          </w:rPr>
          <w:t>Pravice uporabe rezultatov in predhodno obstoječih pravic s strani Unije</w:t>
        </w:r>
        <w:r w:rsidR="00B43131">
          <w:rPr>
            <w:noProof/>
            <w:webHidden/>
          </w:rPr>
          <w:tab/>
        </w:r>
        <w:r w:rsidR="00B43131">
          <w:rPr>
            <w:noProof/>
            <w:webHidden/>
          </w:rPr>
          <w:fldChar w:fldCharType="begin"/>
        </w:r>
        <w:r w:rsidR="00B43131">
          <w:rPr>
            <w:noProof/>
            <w:webHidden/>
          </w:rPr>
          <w:instrText xml:space="preserve"> PAGEREF _Toc30751965 \h </w:instrText>
        </w:r>
        <w:r w:rsidR="00B43131">
          <w:rPr>
            <w:noProof/>
            <w:webHidden/>
          </w:rPr>
        </w:r>
        <w:r w:rsidR="00B43131">
          <w:rPr>
            <w:noProof/>
            <w:webHidden/>
          </w:rPr>
          <w:fldChar w:fldCharType="separate"/>
        </w:r>
        <w:r w:rsidR="00B43131">
          <w:rPr>
            <w:noProof/>
            <w:webHidden/>
          </w:rPr>
          <w:t>10</w:t>
        </w:r>
        <w:r w:rsidR="00B43131">
          <w:rPr>
            <w:noProof/>
            <w:webHidden/>
          </w:rPr>
          <w:fldChar w:fldCharType="end"/>
        </w:r>
      </w:hyperlink>
    </w:p>
    <w:p w14:paraId="5707B27C" w14:textId="4CEE76DD" w:rsidR="00B43131" w:rsidRDefault="002A53B9">
      <w:pPr>
        <w:pStyle w:val="TOC2"/>
        <w:rPr>
          <w:rFonts w:asciiTheme="minorHAnsi" w:eastAsiaTheme="minorEastAsia" w:hAnsiTheme="minorHAnsi" w:cstheme="minorBidi"/>
          <w:noProof/>
          <w:sz w:val="22"/>
          <w:szCs w:val="22"/>
          <w:lang w:val="en-GB" w:eastAsia="en-GB" w:bidi="ar-SA"/>
        </w:rPr>
      </w:pPr>
      <w:hyperlink w:anchor="_Toc30751966" w:history="1">
        <w:r w:rsidR="00B43131" w:rsidRPr="00CC4F72">
          <w:rPr>
            <w:rStyle w:val="Hyperlink"/>
            <w:noProof/>
          </w:rPr>
          <w:t>ČLEN II.10 – ODDAJA JAVNIH NAROČIL, POTREBNIH ZA IZVEDBO UKREPA</w:t>
        </w:r>
        <w:r w:rsidR="00B43131">
          <w:rPr>
            <w:noProof/>
            <w:webHidden/>
          </w:rPr>
          <w:tab/>
        </w:r>
        <w:r w:rsidR="00B43131">
          <w:rPr>
            <w:noProof/>
            <w:webHidden/>
          </w:rPr>
          <w:fldChar w:fldCharType="begin"/>
        </w:r>
        <w:r w:rsidR="00B43131">
          <w:rPr>
            <w:noProof/>
            <w:webHidden/>
          </w:rPr>
          <w:instrText xml:space="preserve"> PAGEREF _Toc30751966 \h </w:instrText>
        </w:r>
        <w:r w:rsidR="00B43131">
          <w:rPr>
            <w:noProof/>
            <w:webHidden/>
          </w:rPr>
        </w:r>
        <w:r w:rsidR="00B43131">
          <w:rPr>
            <w:noProof/>
            <w:webHidden/>
          </w:rPr>
          <w:fldChar w:fldCharType="separate"/>
        </w:r>
        <w:r w:rsidR="00B43131">
          <w:rPr>
            <w:noProof/>
            <w:webHidden/>
          </w:rPr>
          <w:t>11</w:t>
        </w:r>
        <w:r w:rsidR="00B43131">
          <w:rPr>
            <w:noProof/>
            <w:webHidden/>
          </w:rPr>
          <w:fldChar w:fldCharType="end"/>
        </w:r>
      </w:hyperlink>
    </w:p>
    <w:p w14:paraId="5D5732F6" w14:textId="0BD35550" w:rsidR="00B43131" w:rsidRDefault="002A53B9">
      <w:pPr>
        <w:pStyle w:val="TOC2"/>
        <w:rPr>
          <w:rFonts w:asciiTheme="minorHAnsi" w:eastAsiaTheme="minorEastAsia" w:hAnsiTheme="minorHAnsi" w:cstheme="minorBidi"/>
          <w:noProof/>
          <w:sz w:val="22"/>
          <w:szCs w:val="22"/>
          <w:lang w:val="en-GB" w:eastAsia="en-GB" w:bidi="ar-SA"/>
        </w:rPr>
      </w:pPr>
      <w:hyperlink w:anchor="_Toc30751967" w:history="1">
        <w:r w:rsidR="00B43131" w:rsidRPr="00CC4F72">
          <w:rPr>
            <w:rStyle w:val="Hyperlink"/>
            <w:noProof/>
          </w:rPr>
          <w:t>ČLEN II.11 – ODDAJANJE NALOG, KI SO DEL UKREPA, V IZVAJANJE PODIZVAJALCEM</w:t>
        </w:r>
        <w:r w:rsidR="00B43131">
          <w:rPr>
            <w:noProof/>
            <w:webHidden/>
          </w:rPr>
          <w:tab/>
        </w:r>
        <w:r w:rsidR="00B43131">
          <w:rPr>
            <w:noProof/>
            <w:webHidden/>
          </w:rPr>
          <w:fldChar w:fldCharType="begin"/>
        </w:r>
        <w:r w:rsidR="00B43131">
          <w:rPr>
            <w:noProof/>
            <w:webHidden/>
          </w:rPr>
          <w:instrText xml:space="preserve"> PAGEREF _Toc30751967 \h </w:instrText>
        </w:r>
        <w:r w:rsidR="00B43131">
          <w:rPr>
            <w:noProof/>
            <w:webHidden/>
          </w:rPr>
        </w:r>
        <w:r w:rsidR="00B43131">
          <w:rPr>
            <w:noProof/>
            <w:webHidden/>
          </w:rPr>
          <w:fldChar w:fldCharType="separate"/>
        </w:r>
        <w:r w:rsidR="00B43131">
          <w:rPr>
            <w:noProof/>
            <w:webHidden/>
          </w:rPr>
          <w:t>12</w:t>
        </w:r>
        <w:r w:rsidR="00B43131">
          <w:rPr>
            <w:noProof/>
            <w:webHidden/>
          </w:rPr>
          <w:fldChar w:fldCharType="end"/>
        </w:r>
      </w:hyperlink>
    </w:p>
    <w:p w14:paraId="754AE121" w14:textId="4680B612" w:rsidR="00B43131" w:rsidRDefault="002A53B9">
      <w:pPr>
        <w:pStyle w:val="TOC2"/>
        <w:rPr>
          <w:rFonts w:asciiTheme="minorHAnsi" w:eastAsiaTheme="minorEastAsia" w:hAnsiTheme="minorHAnsi" w:cstheme="minorBidi"/>
          <w:noProof/>
          <w:sz w:val="22"/>
          <w:szCs w:val="22"/>
          <w:lang w:val="en-GB" w:eastAsia="en-GB" w:bidi="ar-SA"/>
        </w:rPr>
      </w:pPr>
      <w:hyperlink w:anchor="_Toc30751968" w:history="1">
        <w:r w:rsidR="00B43131" w:rsidRPr="00CC4F72">
          <w:rPr>
            <w:rStyle w:val="Hyperlink"/>
            <w:noProof/>
          </w:rPr>
          <w:t>ČLEN II.12 – FINANČNA PODPORA TRETJIM OSEBAM</w:t>
        </w:r>
        <w:r w:rsidR="00B43131">
          <w:rPr>
            <w:noProof/>
            <w:webHidden/>
          </w:rPr>
          <w:tab/>
        </w:r>
        <w:r w:rsidR="00B43131">
          <w:rPr>
            <w:noProof/>
            <w:webHidden/>
          </w:rPr>
          <w:fldChar w:fldCharType="begin"/>
        </w:r>
        <w:r w:rsidR="00B43131">
          <w:rPr>
            <w:noProof/>
            <w:webHidden/>
          </w:rPr>
          <w:instrText xml:space="preserve"> PAGEREF _Toc30751968 \h </w:instrText>
        </w:r>
        <w:r w:rsidR="00B43131">
          <w:rPr>
            <w:noProof/>
            <w:webHidden/>
          </w:rPr>
        </w:r>
        <w:r w:rsidR="00B43131">
          <w:rPr>
            <w:noProof/>
            <w:webHidden/>
          </w:rPr>
          <w:fldChar w:fldCharType="separate"/>
        </w:r>
        <w:r w:rsidR="00B43131">
          <w:rPr>
            <w:noProof/>
            <w:webHidden/>
          </w:rPr>
          <w:t>12</w:t>
        </w:r>
        <w:r w:rsidR="00B43131">
          <w:rPr>
            <w:noProof/>
            <w:webHidden/>
          </w:rPr>
          <w:fldChar w:fldCharType="end"/>
        </w:r>
      </w:hyperlink>
    </w:p>
    <w:p w14:paraId="54ABA00E" w14:textId="3C742ED9" w:rsidR="00B43131" w:rsidRDefault="002A53B9">
      <w:pPr>
        <w:pStyle w:val="TOC2"/>
        <w:rPr>
          <w:rFonts w:asciiTheme="minorHAnsi" w:eastAsiaTheme="minorEastAsia" w:hAnsiTheme="minorHAnsi" w:cstheme="minorBidi"/>
          <w:noProof/>
          <w:sz w:val="22"/>
          <w:szCs w:val="22"/>
          <w:lang w:val="en-GB" w:eastAsia="en-GB" w:bidi="ar-SA"/>
        </w:rPr>
      </w:pPr>
      <w:hyperlink w:anchor="_Toc30751969" w:history="1">
        <w:r w:rsidR="00B43131" w:rsidRPr="00CC4F72">
          <w:rPr>
            <w:rStyle w:val="Hyperlink"/>
            <w:noProof/>
          </w:rPr>
          <w:t>ČLEN II.13 – SPREMEMBE SPORAZUMA</w:t>
        </w:r>
        <w:r w:rsidR="00B43131">
          <w:rPr>
            <w:noProof/>
            <w:webHidden/>
          </w:rPr>
          <w:tab/>
        </w:r>
        <w:r w:rsidR="00B43131">
          <w:rPr>
            <w:noProof/>
            <w:webHidden/>
          </w:rPr>
          <w:fldChar w:fldCharType="begin"/>
        </w:r>
        <w:r w:rsidR="00B43131">
          <w:rPr>
            <w:noProof/>
            <w:webHidden/>
          </w:rPr>
          <w:instrText xml:space="preserve"> PAGEREF _Toc30751969 \h </w:instrText>
        </w:r>
        <w:r w:rsidR="00B43131">
          <w:rPr>
            <w:noProof/>
            <w:webHidden/>
          </w:rPr>
        </w:r>
        <w:r w:rsidR="00B43131">
          <w:rPr>
            <w:noProof/>
            <w:webHidden/>
          </w:rPr>
          <w:fldChar w:fldCharType="separate"/>
        </w:r>
        <w:r w:rsidR="00B43131">
          <w:rPr>
            <w:noProof/>
            <w:webHidden/>
          </w:rPr>
          <w:t>13</w:t>
        </w:r>
        <w:r w:rsidR="00B43131">
          <w:rPr>
            <w:noProof/>
            <w:webHidden/>
          </w:rPr>
          <w:fldChar w:fldCharType="end"/>
        </w:r>
      </w:hyperlink>
    </w:p>
    <w:p w14:paraId="572816AC" w14:textId="771D4674" w:rsidR="00B43131" w:rsidRDefault="002A53B9">
      <w:pPr>
        <w:pStyle w:val="TOC2"/>
        <w:rPr>
          <w:rFonts w:asciiTheme="minorHAnsi" w:eastAsiaTheme="minorEastAsia" w:hAnsiTheme="minorHAnsi" w:cstheme="minorBidi"/>
          <w:noProof/>
          <w:sz w:val="22"/>
          <w:szCs w:val="22"/>
          <w:lang w:val="en-GB" w:eastAsia="en-GB" w:bidi="ar-SA"/>
        </w:rPr>
      </w:pPr>
      <w:hyperlink w:anchor="_Toc30751970" w:history="1">
        <w:r w:rsidR="00B43131" w:rsidRPr="00CC4F72">
          <w:rPr>
            <w:rStyle w:val="Hyperlink"/>
            <w:noProof/>
          </w:rPr>
          <w:t>ČLEN II.14 – ODSTOP TERJATEV ZA IZPLAČILA TRETJIM OSEBAM</w:t>
        </w:r>
        <w:r w:rsidR="00B43131">
          <w:rPr>
            <w:noProof/>
            <w:webHidden/>
          </w:rPr>
          <w:tab/>
        </w:r>
        <w:r w:rsidR="00B43131">
          <w:rPr>
            <w:noProof/>
            <w:webHidden/>
          </w:rPr>
          <w:fldChar w:fldCharType="begin"/>
        </w:r>
        <w:r w:rsidR="00B43131">
          <w:rPr>
            <w:noProof/>
            <w:webHidden/>
          </w:rPr>
          <w:instrText xml:space="preserve"> PAGEREF _Toc30751970 \h </w:instrText>
        </w:r>
        <w:r w:rsidR="00B43131">
          <w:rPr>
            <w:noProof/>
            <w:webHidden/>
          </w:rPr>
        </w:r>
        <w:r w:rsidR="00B43131">
          <w:rPr>
            <w:noProof/>
            <w:webHidden/>
          </w:rPr>
          <w:fldChar w:fldCharType="separate"/>
        </w:r>
        <w:r w:rsidR="00B43131">
          <w:rPr>
            <w:noProof/>
            <w:webHidden/>
          </w:rPr>
          <w:t>13</w:t>
        </w:r>
        <w:r w:rsidR="00B43131">
          <w:rPr>
            <w:noProof/>
            <w:webHidden/>
          </w:rPr>
          <w:fldChar w:fldCharType="end"/>
        </w:r>
      </w:hyperlink>
    </w:p>
    <w:p w14:paraId="37FA994E" w14:textId="53B47271" w:rsidR="00B43131" w:rsidRDefault="002A53B9">
      <w:pPr>
        <w:pStyle w:val="TOC2"/>
        <w:rPr>
          <w:rFonts w:asciiTheme="minorHAnsi" w:eastAsiaTheme="minorEastAsia" w:hAnsiTheme="minorHAnsi" w:cstheme="minorBidi"/>
          <w:noProof/>
          <w:sz w:val="22"/>
          <w:szCs w:val="22"/>
          <w:lang w:val="en-GB" w:eastAsia="en-GB" w:bidi="ar-SA"/>
        </w:rPr>
      </w:pPr>
      <w:hyperlink w:anchor="_Toc30751971" w:history="1">
        <w:r w:rsidR="00B43131" w:rsidRPr="00CC4F72">
          <w:rPr>
            <w:rStyle w:val="Hyperlink"/>
            <w:noProof/>
          </w:rPr>
          <w:t>ČLEN II.15 – VIŠJA SILA</w:t>
        </w:r>
        <w:r w:rsidR="00B43131">
          <w:rPr>
            <w:noProof/>
            <w:webHidden/>
          </w:rPr>
          <w:tab/>
        </w:r>
        <w:r w:rsidR="00B43131">
          <w:rPr>
            <w:noProof/>
            <w:webHidden/>
          </w:rPr>
          <w:fldChar w:fldCharType="begin"/>
        </w:r>
        <w:r w:rsidR="00B43131">
          <w:rPr>
            <w:noProof/>
            <w:webHidden/>
          </w:rPr>
          <w:instrText xml:space="preserve"> PAGEREF _Toc30751971 \h </w:instrText>
        </w:r>
        <w:r w:rsidR="00B43131">
          <w:rPr>
            <w:noProof/>
            <w:webHidden/>
          </w:rPr>
        </w:r>
        <w:r w:rsidR="00B43131">
          <w:rPr>
            <w:noProof/>
            <w:webHidden/>
          </w:rPr>
          <w:fldChar w:fldCharType="separate"/>
        </w:r>
        <w:r w:rsidR="00B43131">
          <w:rPr>
            <w:noProof/>
            <w:webHidden/>
          </w:rPr>
          <w:t>13</w:t>
        </w:r>
        <w:r w:rsidR="00B43131">
          <w:rPr>
            <w:noProof/>
            <w:webHidden/>
          </w:rPr>
          <w:fldChar w:fldCharType="end"/>
        </w:r>
      </w:hyperlink>
    </w:p>
    <w:p w14:paraId="23D8107E" w14:textId="1FCF4A4F" w:rsidR="00B43131" w:rsidRDefault="002A53B9">
      <w:pPr>
        <w:pStyle w:val="TOC2"/>
        <w:rPr>
          <w:rFonts w:asciiTheme="minorHAnsi" w:eastAsiaTheme="minorEastAsia" w:hAnsiTheme="minorHAnsi" w:cstheme="minorBidi"/>
          <w:noProof/>
          <w:sz w:val="22"/>
          <w:szCs w:val="22"/>
          <w:lang w:val="en-GB" w:eastAsia="en-GB" w:bidi="ar-SA"/>
        </w:rPr>
      </w:pPr>
      <w:hyperlink w:anchor="_Toc30751972" w:history="1">
        <w:r w:rsidR="00B43131" w:rsidRPr="00CC4F72">
          <w:rPr>
            <w:rStyle w:val="Hyperlink"/>
            <w:noProof/>
          </w:rPr>
          <w:t>ČLEN II.16 – ZADRŽANJE IZVAJANJA UKREPA</w:t>
        </w:r>
        <w:r w:rsidR="00B43131">
          <w:rPr>
            <w:noProof/>
            <w:webHidden/>
          </w:rPr>
          <w:tab/>
        </w:r>
        <w:r w:rsidR="00B43131">
          <w:rPr>
            <w:noProof/>
            <w:webHidden/>
          </w:rPr>
          <w:fldChar w:fldCharType="begin"/>
        </w:r>
        <w:r w:rsidR="00B43131">
          <w:rPr>
            <w:noProof/>
            <w:webHidden/>
          </w:rPr>
          <w:instrText xml:space="preserve"> PAGEREF _Toc30751972 \h </w:instrText>
        </w:r>
        <w:r w:rsidR="00B43131">
          <w:rPr>
            <w:noProof/>
            <w:webHidden/>
          </w:rPr>
        </w:r>
        <w:r w:rsidR="00B43131">
          <w:rPr>
            <w:noProof/>
            <w:webHidden/>
          </w:rPr>
          <w:fldChar w:fldCharType="separate"/>
        </w:r>
        <w:r w:rsidR="00B43131">
          <w:rPr>
            <w:noProof/>
            <w:webHidden/>
          </w:rPr>
          <w:t>14</w:t>
        </w:r>
        <w:r w:rsidR="00B43131">
          <w:rPr>
            <w:noProof/>
            <w:webHidden/>
          </w:rPr>
          <w:fldChar w:fldCharType="end"/>
        </w:r>
      </w:hyperlink>
    </w:p>
    <w:p w14:paraId="32FD6C5E" w14:textId="7EE959A9" w:rsidR="00B43131" w:rsidRDefault="002A53B9">
      <w:pPr>
        <w:pStyle w:val="TOC3"/>
        <w:tabs>
          <w:tab w:val="left" w:pos="2880"/>
        </w:tabs>
        <w:rPr>
          <w:rFonts w:asciiTheme="minorHAnsi" w:eastAsiaTheme="minorEastAsia" w:hAnsiTheme="minorHAnsi" w:cstheme="minorBidi"/>
          <w:noProof/>
          <w:sz w:val="22"/>
          <w:szCs w:val="22"/>
          <w:lang w:val="en-GB" w:eastAsia="en-GB" w:bidi="ar-SA"/>
        </w:rPr>
      </w:pPr>
      <w:hyperlink w:anchor="_Toc30751973" w:history="1">
        <w:r w:rsidR="00B43131" w:rsidRPr="00CC4F72">
          <w:rPr>
            <w:rStyle w:val="Hyperlink"/>
            <w:noProof/>
          </w:rPr>
          <w:t>II.16.1</w:t>
        </w:r>
        <w:r w:rsidR="00B43131">
          <w:rPr>
            <w:rFonts w:asciiTheme="minorHAnsi" w:eastAsiaTheme="minorEastAsia" w:hAnsiTheme="minorHAnsi" w:cstheme="minorBidi"/>
            <w:noProof/>
            <w:sz w:val="22"/>
            <w:szCs w:val="22"/>
            <w:lang w:val="en-GB" w:eastAsia="en-GB" w:bidi="ar-SA"/>
          </w:rPr>
          <w:tab/>
        </w:r>
        <w:r w:rsidR="00B43131" w:rsidRPr="00CC4F72">
          <w:rPr>
            <w:rStyle w:val="Hyperlink"/>
            <w:noProof/>
          </w:rPr>
          <w:t>Zadržanje izvajanja s strani upravičenca</w:t>
        </w:r>
        <w:r w:rsidR="00B43131">
          <w:rPr>
            <w:noProof/>
            <w:webHidden/>
          </w:rPr>
          <w:tab/>
        </w:r>
        <w:r w:rsidR="00B43131">
          <w:rPr>
            <w:noProof/>
            <w:webHidden/>
          </w:rPr>
          <w:fldChar w:fldCharType="begin"/>
        </w:r>
        <w:r w:rsidR="00B43131">
          <w:rPr>
            <w:noProof/>
            <w:webHidden/>
          </w:rPr>
          <w:instrText xml:space="preserve"> PAGEREF _Toc30751973 \h </w:instrText>
        </w:r>
        <w:r w:rsidR="00B43131">
          <w:rPr>
            <w:noProof/>
            <w:webHidden/>
          </w:rPr>
        </w:r>
        <w:r w:rsidR="00B43131">
          <w:rPr>
            <w:noProof/>
            <w:webHidden/>
          </w:rPr>
          <w:fldChar w:fldCharType="separate"/>
        </w:r>
        <w:r w:rsidR="00B43131">
          <w:rPr>
            <w:noProof/>
            <w:webHidden/>
          </w:rPr>
          <w:t>14</w:t>
        </w:r>
        <w:r w:rsidR="00B43131">
          <w:rPr>
            <w:noProof/>
            <w:webHidden/>
          </w:rPr>
          <w:fldChar w:fldCharType="end"/>
        </w:r>
      </w:hyperlink>
    </w:p>
    <w:p w14:paraId="3F332DA3" w14:textId="7C3E8DFE" w:rsidR="00B43131" w:rsidRDefault="002A53B9">
      <w:pPr>
        <w:pStyle w:val="TOC3"/>
        <w:tabs>
          <w:tab w:val="left" w:pos="2880"/>
        </w:tabs>
        <w:rPr>
          <w:rFonts w:asciiTheme="minorHAnsi" w:eastAsiaTheme="minorEastAsia" w:hAnsiTheme="minorHAnsi" w:cstheme="minorBidi"/>
          <w:noProof/>
          <w:sz w:val="22"/>
          <w:szCs w:val="22"/>
          <w:lang w:val="en-GB" w:eastAsia="en-GB" w:bidi="ar-SA"/>
        </w:rPr>
      </w:pPr>
      <w:hyperlink w:anchor="_Toc30751974" w:history="1">
        <w:r w:rsidR="00B43131" w:rsidRPr="00CC4F72">
          <w:rPr>
            <w:rStyle w:val="Hyperlink"/>
            <w:noProof/>
          </w:rPr>
          <w:t>II.16.2</w:t>
        </w:r>
        <w:r w:rsidR="00B43131">
          <w:rPr>
            <w:rFonts w:asciiTheme="minorHAnsi" w:eastAsiaTheme="minorEastAsia" w:hAnsiTheme="minorHAnsi" w:cstheme="minorBidi"/>
            <w:noProof/>
            <w:sz w:val="22"/>
            <w:szCs w:val="22"/>
            <w:lang w:val="en-GB" w:eastAsia="en-GB" w:bidi="ar-SA"/>
          </w:rPr>
          <w:tab/>
        </w:r>
        <w:r w:rsidR="00B43131" w:rsidRPr="00CC4F72">
          <w:rPr>
            <w:rStyle w:val="Hyperlink"/>
            <w:noProof/>
          </w:rPr>
          <w:t>Zadržanje izvajanja s strani Komisije</w:t>
        </w:r>
        <w:r w:rsidR="00B43131">
          <w:rPr>
            <w:noProof/>
            <w:webHidden/>
          </w:rPr>
          <w:tab/>
        </w:r>
        <w:r w:rsidR="00B43131">
          <w:rPr>
            <w:noProof/>
            <w:webHidden/>
          </w:rPr>
          <w:fldChar w:fldCharType="begin"/>
        </w:r>
        <w:r w:rsidR="00B43131">
          <w:rPr>
            <w:noProof/>
            <w:webHidden/>
          </w:rPr>
          <w:instrText xml:space="preserve"> PAGEREF _Toc30751974 \h </w:instrText>
        </w:r>
        <w:r w:rsidR="00B43131">
          <w:rPr>
            <w:noProof/>
            <w:webHidden/>
          </w:rPr>
        </w:r>
        <w:r w:rsidR="00B43131">
          <w:rPr>
            <w:noProof/>
            <w:webHidden/>
          </w:rPr>
          <w:fldChar w:fldCharType="separate"/>
        </w:r>
        <w:r w:rsidR="00B43131">
          <w:rPr>
            <w:noProof/>
            <w:webHidden/>
          </w:rPr>
          <w:t>14</w:t>
        </w:r>
        <w:r w:rsidR="00B43131">
          <w:rPr>
            <w:noProof/>
            <w:webHidden/>
          </w:rPr>
          <w:fldChar w:fldCharType="end"/>
        </w:r>
      </w:hyperlink>
    </w:p>
    <w:p w14:paraId="296A97BD" w14:textId="336190FE" w:rsidR="00B43131" w:rsidRDefault="002A53B9">
      <w:pPr>
        <w:pStyle w:val="TOC3"/>
        <w:rPr>
          <w:rFonts w:asciiTheme="minorHAnsi" w:eastAsiaTheme="minorEastAsia" w:hAnsiTheme="minorHAnsi" w:cstheme="minorBidi"/>
          <w:noProof/>
          <w:sz w:val="22"/>
          <w:szCs w:val="22"/>
          <w:lang w:val="en-GB" w:eastAsia="en-GB" w:bidi="ar-SA"/>
        </w:rPr>
      </w:pPr>
      <w:hyperlink w:anchor="_Toc30751975" w:history="1">
        <w:r w:rsidR="00B43131" w:rsidRPr="00CC4F72">
          <w:rPr>
            <w:rStyle w:val="Hyperlink"/>
            <w:noProof/>
          </w:rPr>
          <w:t>II.16.3 Posledice zadržanja</w:t>
        </w:r>
        <w:r w:rsidR="00B43131">
          <w:rPr>
            <w:noProof/>
            <w:webHidden/>
          </w:rPr>
          <w:tab/>
        </w:r>
        <w:r w:rsidR="00B43131">
          <w:rPr>
            <w:noProof/>
            <w:webHidden/>
          </w:rPr>
          <w:fldChar w:fldCharType="begin"/>
        </w:r>
        <w:r w:rsidR="00B43131">
          <w:rPr>
            <w:noProof/>
            <w:webHidden/>
          </w:rPr>
          <w:instrText xml:space="preserve"> PAGEREF _Toc30751975 \h </w:instrText>
        </w:r>
        <w:r w:rsidR="00B43131">
          <w:rPr>
            <w:noProof/>
            <w:webHidden/>
          </w:rPr>
        </w:r>
        <w:r w:rsidR="00B43131">
          <w:rPr>
            <w:noProof/>
            <w:webHidden/>
          </w:rPr>
          <w:fldChar w:fldCharType="separate"/>
        </w:r>
        <w:r w:rsidR="00B43131">
          <w:rPr>
            <w:noProof/>
            <w:webHidden/>
          </w:rPr>
          <w:t>15</w:t>
        </w:r>
        <w:r w:rsidR="00B43131">
          <w:rPr>
            <w:noProof/>
            <w:webHidden/>
          </w:rPr>
          <w:fldChar w:fldCharType="end"/>
        </w:r>
      </w:hyperlink>
    </w:p>
    <w:p w14:paraId="794BF91C" w14:textId="71B4AAF3" w:rsidR="00B43131" w:rsidRDefault="002A53B9">
      <w:pPr>
        <w:pStyle w:val="TOC2"/>
        <w:rPr>
          <w:rFonts w:asciiTheme="minorHAnsi" w:eastAsiaTheme="minorEastAsia" w:hAnsiTheme="minorHAnsi" w:cstheme="minorBidi"/>
          <w:noProof/>
          <w:sz w:val="22"/>
          <w:szCs w:val="22"/>
          <w:lang w:val="en-GB" w:eastAsia="en-GB" w:bidi="ar-SA"/>
        </w:rPr>
      </w:pPr>
      <w:hyperlink w:anchor="_Toc30751976" w:history="1">
        <w:r w:rsidR="00B43131" w:rsidRPr="00CC4F72">
          <w:rPr>
            <w:rStyle w:val="Hyperlink"/>
            <w:noProof/>
          </w:rPr>
          <w:t>ČLEN II.17 – ODPOVED SPORAZUMA</w:t>
        </w:r>
        <w:r w:rsidR="00B43131">
          <w:rPr>
            <w:noProof/>
            <w:webHidden/>
          </w:rPr>
          <w:tab/>
        </w:r>
        <w:r w:rsidR="00B43131">
          <w:rPr>
            <w:noProof/>
            <w:webHidden/>
          </w:rPr>
          <w:fldChar w:fldCharType="begin"/>
        </w:r>
        <w:r w:rsidR="00B43131">
          <w:rPr>
            <w:noProof/>
            <w:webHidden/>
          </w:rPr>
          <w:instrText xml:space="preserve"> PAGEREF _Toc30751976 \h </w:instrText>
        </w:r>
        <w:r w:rsidR="00B43131">
          <w:rPr>
            <w:noProof/>
            <w:webHidden/>
          </w:rPr>
        </w:r>
        <w:r w:rsidR="00B43131">
          <w:rPr>
            <w:noProof/>
            <w:webHidden/>
          </w:rPr>
          <w:fldChar w:fldCharType="separate"/>
        </w:r>
        <w:r w:rsidR="00B43131">
          <w:rPr>
            <w:noProof/>
            <w:webHidden/>
          </w:rPr>
          <w:t>15</w:t>
        </w:r>
        <w:r w:rsidR="00B43131">
          <w:rPr>
            <w:noProof/>
            <w:webHidden/>
          </w:rPr>
          <w:fldChar w:fldCharType="end"/>
        </w:r>
      </w:hyperlink>
    </w:p>
    <w:p w14:paraId="72A0A400" w14:textId="14E11A91" w:rsidR="00B43131" w:rsidRDefault="002A53B9">
      <w:pPr>
        <w:pStyle w:val="TOC3"/>
        <w:tabs>
          <w:tab w:val="left" w:pos="2880"/>
        </w:tabs>
        <w:rPr>
          <w:rFonts w:asciiTheme="minorHAnsi" w:eastAsiaTheme="minorEastAsia" w:hAnsiTheme="minorHAnsi" w:cstheme="minorBidi"/>
          <w:noProof/>
          <w:sz w:val="22"/>
          <w:szCs w:val="22"/>
          <w:lang w:val="en-GB" w:eastAsia="en-GB" w:bidi="ar-SA"/>
        </w:rPr>
      </w:pPr>
      <w:hyperlink w:anchor="_Toc30751977" w:history="1">
        <w:r w:rsidR="00B43131" w:rsidRPr="00CC4F72">
          <w:rPr>
            <w:rStyle w:val="Hyperlink"/>
            <w:noProof/>
          </w:rPr>
          <w:t>II.17.1</w:t>
        </w:r>
        <w:r w:rsidR="00B43131">
          <w:rPr>
            <w:rFonts w:asciiTheme="minorHAnsi" w:eastAsiaTheme="minorEastAsia" w:hAnsiTheme="minorHAnsi" w:cstheme="minorBidi"/>
            <w:noProof/>
            <w:sz w:val="22"/>
            <w:szCs w:val="22"/>
            <w:lang w:val="en-GB" w:eastAsia="en-GB" w:bidi="ar-SA"/>
          </w:rPr>
          <w:tab/>
        </w:r>
        <w:r w:rsidR="00B43131" w:rsidRPr="00CC4F72">
          <w:rPr>
            <w:rStyle w:val="Hyperlink"/>
            <w:noProof/>
          </w:rPr>
          <w:t>Odpoved sporazuma s strani upravičenca</w:t>
        </w:r>
        <w:r w:rsidR="00B43131">
          <w:rPr>
            <w:noProof/>
            <w:webHidden/>
          </w:rPr>
          <w:tab/>
        </w:r>
        <w:r w:rsidR="00B43131">
          <w:rPr>
            <w:noProof/>
            <w:webHidden/>
          </w:rPr>
          <w:fldChar w:fldCharType="begin"/>
        </w:r>
        <w:r w:rsidR="00B43131">
          <w:rPr>
            <w:noProof/>
            <w:webHidden/>
          </w:rPr>
          <w:instrText xml:space="preserve"> PAGEREF _Toc30751977 \h </w:instrText>
        </w:r>
        <w:r w:rsidR="00B43131">
          <w:rPr>
            <w:noProof/>
            <w:webHidden/>
          </w:rPr>
        </w:r>
        <w:r w:rsidR="00B43131">
          <w:rPr>
            <w:noProof/>
            <w:webHidden/>
          </w:rPr>
          <w:fldChar w:fldCharType="separate"/>
        </w:r>
        <w:r w:rsidR="00B43131">
          <w:rPr>
            <w:noProof/>
            <w:webHidden/>
          </w:rPr>
          <w:t>15</w:t>
        </w:r>
        <w:r w:rsidR="00B43131">
          <w:rPr>
            <w:noProof/>
            <w:webHidden/>
          </w:rPr>
          <w:fldChar w:fldCharType="end"/>
        </w:r>
      </w:hyperlink>
    </w:p>
    <w:p w14:paraId="17C08585" w14:textId="695EEF94" w:rsidR="00B43131" w:rsidRDefault="002A53B9">
      <w:pPr>
        <w:pStyle w:val="TOC3"/>
        <w:tabs>
          <w:tab w:val="left" w:pos="2880"/>
        </w:tabs>
        <w:rPr>
          <w:rFonts w:asciiTheme="minorHAnsi" w:eastAsiaTheme="minorEastAsia" w:hAnsiTheme="minorHAnsi" w:cstheme="minorBidi"/>
          <w:noProof/>
          <w:sz w:val="22"/>
          <w:szCs w:val="22"/>
          <w:lang w:val="en-GB" w:eastAsia="en-GB" w:bidi="ar-SA"/>
        </w:rPr>
      </w:pPr>
      <w:hyperlink w:anchor="_Toc30751978" w:history="1">
        <w:r w:rsidR="00B43131" w:rsidRPr="00CC4F72">
          <w:rPr>
            <w:rStyle w:val="Hyperlink"/>
            <w:noProof/>
          </w:rPr>
          <w:t>II.17.2</w:t>
        </w:r>
        <w:r w:rsidR="00B43131">
          <w:rPr>
            <w:rFonts w:asciiTheme="minorHAnsi" w:eastAsiaTheme="minorEastAsia" w:hAnsiTheme="minorHAnsi" w:cstheme="minorBidi"/>
            <w:noProof/>
            <w:sz w:val="22"/>
            <w:szCs w:val="22"/>
            <w:lang w:val="en-GB" w:eastAsia="en-GB" w:bidi="ar-SA"/>
          </w:rPr>
          <w:tab/>
        </w:r>
        <w:r w:rsidR="00B43131" w:rsidRPr="00CC4F72">
          <w:rPr>
            <w:rStyle w:val="Hyperlink"/>
            <w:noProof/>
          </w:rPr>
          <w:t>Odpoved sporazuma s strani Komisije</w:t>
        </w:r>
        <w:r w:rsidR="00B43131">
          <w:rPr>
            <w:noProof/>
            <w:webHidden/>
          </w:rPr>
          <w:tab/>
        </w:r>
        <w:r w:rsidR="00B43131">
          <w:rPr>
            <w:noProof/>
            <w:webHidden/>
          </w:rPr>
          <w:fldChar w:fldCharType="begin"/>
        </w:r>
        <w:r w:rsidR="00B43131">
          <w:rPr>
            <w:noProof/>
            <w:webHidden/>
          </w:rPr>
          <w:instrText xml:space="preserve"> PAGEREF _Toc30751978 \h </w:instrText>
        </w:r>
        <w:r w:rsidR="00B43131">
          <w:rPr>
            <w:noProof/>
            <w:webHidden/>
          </w:rPr>
        </w:r>
        <w:r w:rsidR="00B43131">
          <w:rPr>
            <w:noProof/>
            <w:webHidden/>
          </w:rPr>
          <w:fldChar w:fldCharType="separate"/>
        </w:r>
        <w:r w:rsidR="00B43131">
          <w:rPr>
            <w:noProof/>
            <w:webHidden/>
          </w:rPr>
          <w:t>16</w:t>
        </w:r>
        <w:r w:rsidR="00B43131">
          <w:rPr>
            <w:noProof/>
            <w:webHidden/>
          </w:rPr>
          <w:fldChar w:fldCharType="end"/>
        </w:r>
      </w:hyperlink>
    </w:p>
    <w:p w14:paraId="4FCEF9FC" w14:textId="26CB0DBE" w:rsidR="00B43131" w:rsidRDefault="002A53B9">
      <w:pPr>
        <w:pStyle w:val="TOC3"/>
        <w:tabs>
          <w:tab w:val="left" w:pos="2880"/>
        </w:tabs>
        <w:rPr>
          <w:rFonts w:asciiTheme="minorHAnsi" w:eastAsiaTheme="minorEastAsia" w:hAnsiTheme="minorHAnsi" w:cstheme="minorBidi"/>
          <w:noProof/>
          <w:sz w:val="22"/>
          <w:szCs w:val="22"/>
          <w:lang w:val="en-GB" w:eastAsia="en-GB" w:bidi="ar-SA"/>
        </w:rPr>
      </w:pPr>
      <w:hyperlink w:anchor="_Toc30751979" w:history="1">
        <w:r w:rsidR="00B43131" w:rsidRPr="00CC4F72">
          <w:rPr>
            <w:rStyle w:val="Hyperlink"/>
            <w:noProof/>
          </w:rPr>
          <w:t>II.17.3</w:t>
        </w:r>
        <w:r w:rsidR="00B43131">
          <w:rPr>
            <w:rFonts w:asciiTheme="minorHAnsi" w:eastAsiaTheme="minorEastAsia" w:hAnsiTheme="minorHAnsi" w:cstheme="minorBidi"/>
            <w:noProof/>
            <w:sz w:val="22"/>
            <w:szCs w:val="22"/>
            <w:lang w:val="en-GB" w:eastAsia="en-GB" w:bidi="ar-SA"/>
          </w:rPr>
          <w:tab/>
        </w:r>
        <w:r w:rsidR="00B43131" w:rsidRPr="00CC4F72">
          <w:rPr>
            <w:rStyle w:val="Hyperlink"/>
            <w:noProof/>
          </w:rPr>
          <w:t>Posledice odpovedi</w:t>
        </w:r>
        <w:r w:rsidR="00B43131">
          <w:rPr>
            <w:noProof/>
            <w:webHidden/>
          </w:rPr>
          <w:tab/>
        </w:r>
        <w:r w:rsidR="00B43131">
          <w:rPr>
            <w:noProof/>
            <w:webHidden/>
          </w:rPr>
          <w:fldChar w:fldCharType="begin"/>
        </w:r>
        <w:r w:rsidR="00B43131">
          <w:rPr>
            <w:noProof/>
            <w:webHidden/>
          </w:rPr>
          <w:instrText xml:space="preserve"> PAGEREF _Toc30751979 \h </w:instrText>
        </w:r>
        <w:r w:rsidR="00B43131">
          <w:rPr>
            <w:noProof/>
            <w:webHidden/>
          </w:rPr>
        </w:r>
        <w:r w:rsidR="00B43131">
          <w:rPr>
            <w:noProof/>
            <w:webHidden/>
          </w:rPr>
          <w:fldChar w:fldCharType="separate"/>
        </w:r>
        <w:r w:rsidR="00B43131">
          <w:rPr>
            <w:noProof/>
            <w:webHidden/>
          </w:rPr>
          <w:t>17</w:t>
        </w:r>
        <w:r w:rsidR="00B43131">
          <w:rPr>
            <w:noProof/>
            <w:webHidden/>
          </w:rPr>
          <w:fldChar w:fldCharType="end"/>
        </w:r>
      </w:hyperlink>
    </w:p>
    <w:p w14:paraId="52591B00" w14:textId="7E42727A" w:rsidR="00B43131" w:rsidRDefault="002A53B9">
      <w:pPr>
        <w:pStyle w:val="TOC2"/>
        <w:rPr>
          <w:rFonts w:asciiTheme="minorHAnsi" w:eastAsiaTheme="minorEastAsia" w:hAnsiTheme="minorHAnsi" w:cstheme="minorBidi"/>
          <w:noProof/>
          <w:sz w:val="22"/>
          <w:szCs w:val="22"/>
          <w:lang w:val="en-GB" w:eastAsia="en-GB" w:bidi="ar-SA"/>
        </w:rPr>
      </w:pPr>
      <w:hyperlink w:anchor="_Toc30751980" w:history="1">
        <w:r w:rsidR="00B43131" w:rsidRPr="00CC4F72">
          <w:rPr>
            <w:rStyle w:val="Hyperlink"/>
            <w:noProof/>
          </w:rPr>
          <w:t>ČLEN II.18 – PRAVO, KI SE UPORABLJA, REŠEVANJE SPOROV IN IZVRŠLJIVI SKLEPI</w:t>
        </w:r>
        <w:r w:rsidR="00B43131">
          <w:rPr>
            <w:noProof/>
            <w:webHidden/>
          </w:rPr>
          <w:tab/>
        </w:r>
        <w:r w:rsidR="00B43131">
          <w:rPr>
            <w:noProof/>
            <w:webHidden/>
          </w:rPr>
          <w:fldChar w:fldCharType="begin"/>
        </w:r>
        <w:r w:rsidR="00B43131">
          <w:rPr>
            <w:noProof/>
            <w:webHidden/>
          </w:rPr>
          <w:instrText xml:space="preserve"> PAGEREF _Toc30751980 \h </w:instrText>
        </w:r>
        <w:r w:rsidR="00B43131">
          <w:rPr>
            <w:noProof/>
            <w:webHidden/>
          </w:rPr>
        </w:r>
        <w:r w:rsidR="00B43131">
          <w:rPr>
            <w:noProof/>
            <w:webHidden/>
          </w:rPr>
          <w:fldChar w:fldCharType="separate"/>
        </w:r>
        <w:r w:rsidR="00B43131">
          <w:rPr>
            <w:noProof/>
            <w:webHidden/>
          </w:rPr>
          <w:t>18</w:t>
        </w:r>
        <w:r w:rsidR="00B43131">
          <w:rPr>
            <w:noProof/>
            <w:webHidden/>
          </w:rPr>
          <w:fldChar w:fldCharType="end"/>
        </w:r>
      </w:hyperlink>
    </w:p>
    <w:p w14:paraId="3F6DC2C4" w14:textId="0FA6EA55" w:rsidR="00B43131" w:rsidRDefault="002A53B9">
      <w:pPr>
        <w:pStyle w:val="TOC1"/>
        <w:rPr>
          <w:rFonts w:asciiTheme="minorHAnsi" w:eastAsiaTheme="minorEastAsia" w:hAnsiTheme="minorHAnsi" w:cstheme="minorBidi"/>
          <w:b w:val="0"/>
          <w:caps w:val="0"/>
          <w:noProof/>
          <w:sz w:val="22"/>
          <w:szCs w:val="22"/>
          <w:lang w:val="en-GB" w:eastAsia="en-GB" w:bidi="ar-SA"/>
        </w:rPr>
      </w:pPr>
      <w:hyperlink w:anchor="_Toc30751981" w:history="1">
        <w:r w:rsidR="00B43131" w:rsidRPr="00CC4F72">
          <w:rPr>
            <w:rStyle w:val="Hyperlink"/>
            <w:noProof/>
          </w:rPr>
          <w:t>DEL B – FINANČNE DOLOČBE</w:t>
        </w:r>
        <w:r w:rsidR="00B43131">
          <w:rPr>
            <w:noProof/>
            <w:webHidden/>
          </w:rPr>
          <w:tab/>
        </w:r>
        <w:r w:rsidR="00B43131">
          <w:rPr>
            <w:noProof/>
            <w:webHidden/>
          </w:rPr>
          <w:fldChar w:fldCharType="begin"/>
        </w:r>
        <w:r w:rsidR="00B43131">
          <w:rPr>
            <w:noProof/>
            <w:webHidden/>
          </w:rPr>
          <w:instrText xml:space="preserve"> PAGEREF _Toc30751981 \h </w:instrText>
        </w:r>
        <w:r w:rsidR="00B43131">
          <w:rPr>
            <w:noProof/>
            <w:webHidden/>
          </w:rPr>
        </w:r>
        <w:r w:rsidR="00B43131">
          <w:rPr>
            <w:noProof/>
            <w:webHidden/>
          </w:rPr>
          <w:fldChar w:fldCharType="separate"/>
        </w:r>
        <w:r w:rsidR="00B43131">
          <w:rPr>
            <w:noProof/>
            <w:webHidden/>
          </w:rPr>
          <w:t>19</w:t>
        </w:r>
        <w:r w:rsidR="00B43131">
          <w:rPr>
            <w:noProof/>
            <w:webHidden/>
          </w:rPr>
          <w:fldChar w:fldCharType="end"/>
        </w:r>
      </w:hyperlink>
    </w:p>
    <w:p w14:paraId="70D5A507" w14:textId="45EC2040" w:rsidR="00B43131" w:rsidRDefault="002A53B9">
      <w:pPr>
        <w:pStyle w:val="TOC2"/>
        <w:rPr>
          <w:rFonts w:asciiTheme="minorHAnsi" w:eastAsiaTheme="minorEastAsia" w:hAnsiTheme="minorHAnsi" w:cstheme="minorBidi"/>
          <w:noProof/>
          <w:sz w:val="22"/>
          <w:szCs w:val="22"/>
          <w:lang w:val="en-GB" w:eastAsia="en-GB" w:bidi="ar-SA"/>
        </w:rPr>
      </w:pPr>
      <w:hyperlink w:anchor="_Toc30751982" w:history="1">
        <w:r w:rsidR="00B43131" w:rsidRPr="00CC4F72">
          <w:rPr>
            <w:rStyle w:val="Hyperlink"/>
            <w:noProof/>
          </w:rPr>
          <w:t>ČLEN II.19 – UPRAVIČENI STROŠKI</w:t>
        </w:r>
        <w:r w:rsidR="00B43131">
          <w:rPr>
            <w:noProof/>
            <w:webHidden/>
          </w:rPr>
          <w:tab/>
        </w:r>
        <w:r w:rsidR="00B43131">
          <w:rPr>
            <w:noProof/>
            <w:webHidden/>
          </w:rPr>
          <w:fldChar w:fldCharType="begin"/>
        </w:r>
        <w:r w:rsidR="00B43131">
          <w:rPr>
            <w:noProof/>
            <w:webHidden/>
          </w:rPr>
          <w:instrText xml:space="preserve"> PAGEREF _Toc30751982 \h </w:instrText>
        </w:r>
        <w:r w:rsidR="00B43131">
          <w:rPr>
            <w:noProof/>
            <w:webHidden/>
          </w:rPr>
        </w:r>
        <w:r w:rsidR="00B43131">
          <w:rPr>
            <w:noProof/>
            <w:webHidden/>
          </w:rPr>
          <w:fldChar w:fldCharType="separate"/>
        </w:r>
        <w:r w:rsidR="00B43131">
          <w:rPr>
            <w:noProof/>
            <w:webHidden/>
          </w:rPr>
          <w:t>19</w:t>
        </w:r>
        <w:r w:rsidR="00B43131">
          <w:rPr>
            <w:noProof/>
            <w:webHidden/>
          </w:rPr>
          <w:fldChar w:fldCharType="end"/>
        </w:r>
      </w:hyperlink>
    </w:p>
    <w:p w14:paraId="4F28F6DA" w14:textId="58EB7B53" w:rsidR="00B43131" w:rsidRDefault="002A53B9">
      <w:pPr>
        <w:pStyle w:val="TOC3"/>
        <w:tabs>
          <w:tab w:val="left" w:pos="2880"/>
        </w:tabs>
        <w:rPr>
          <w:rFonts w:asciiTheme="minorHAnsi" w:eastAsiaTheme="minorEastAsia" w:hAnsiTheme="minorHAnsi" w:cstheme="minorBidi"/>
          <w:noProof/>
          <w:sz w:val="22"/>
          <w:szCs w:val="22"/>
          <w:lang w:val="en-GB" w:eastAsia="en-GB" w:bidi="ar-SA"/>
        </w:rPr>
      </w:pPr>
      <w:hyperlink w:anchor="_Toc30751983" w:history="1">
        <w:r w:rsidR="00B43131" w:rsidRPr="00CC4F72">
          <w:rPr>
            <w:rStyle w:val="Hyperlink"/>
            <w:noProof/>
          </w:rPr>
          <w:t>II.19.1</w:t>
        </w:r>
        <w:r w:rsidR="00B43131">
          <w:rPr>
            <w:rFonts w:asciiTheme="minorHAnsi" w:eastAsiaTheme="minorEastAsia" w:hAnsiTheme="minorHAnsi" w:cstheme="minorBidi"/>
            <w:noProof/>
            <w:sz w:val="22"/>
            <w:szCs w:val="22"/>
            <w:lang w:val="en-GB" w:eastAsia="en-GB" w:bidi="ar-SA"/>
          </w:rPr>
          <w:tab/>
        </w:r>
        <w:r w:rsidR="00B43131" w:rsidRPr="00CC4F72">
          <w:rPr>
            <w:rStyle w:val="Hyperlink"/>
            <w:noProof/>
          </w:rPr>
          <w:t>Pogoji za upravičenost stroškov</w:t>
        </w:r>
        <w:r w:rsidR="00B43131">
          <w:rPr>
            <w:noProof/>
            <w:webHidden/>
          </w:rPr>
          <w:tab/>
        </w:r>
        <w:r w:rsidR="00B43131">
          <w:rPr>
            <w:noProof/>
            <w:webHidden/>
          </w:rPr>
          <w:fldChar w:fldCharType="begin"/>
        </w:r>
        <w:r w:rsidR="00B43131">
          <w:rPr>
            <w:noProof/>
            <w:webHidden/>
          </w:rPr>
          <w:instrText xml:space="preserve"> PAGEREF _Toc30751983 \h </w:instrText>
        </w:r>
        <w:r w:rsidR="00B43131">
          <w:rPr>
            <w:noProof/>
            <w:webHidden/>
          </w:rPr>
        </w:r>
        <w:r w:rsidR="00B43131">
          <w:rPr>
            <w:noProof/>
            <w:webHidden/>
          </w:rPr>
          <w:fldChar w:fldCharType="separate"/>
        </w:r>
        <w:r w:rsidR="00B43131">
          <w:rPr>
            <w:noProof/>
            <w:webHidden/>
          </w:rPr>
          <w:t>19</w:t>
        </w:r>
        <w:r w:rsidR="00B43131">
          <w:rPr>
            <w:noProof/>
            <w:webHidden/>
          </w:rPr>
          <w:fldChar w:fldCharType="end"/>
        </w:r>
      </w:hyperlink>
    </w:p>
    <w:p w14:paraId="7192E607" w14:textId="263F774C" w:rsidR="00B43131" w:rsidRDefault="002A53B9">
      <w:pPr>
        <w:pStyle w:val="TOC3"/>
        <w:tabs>
          <w:tab w:val="left" w:pos="2880"/>
        </w:tabs>
        <w:rPr>
          <w:rFonts w:asciiTheme="minorHAnsi" w:eastAsiaTheme="minorEastAsia" w:hAnsiTheme="minorHAnsi" w:cstheme="minorBidi"/>
          <w:noProof/>
          <w:sz w:val="22"/>
          <w:szCs w:val="22"/>
          <w:lang w:val="en-GB" w:eastAsia="en-GB" w:bidi="ar-SA"/>
        </w:rPr>
      </w:pPr>
      <w:hyperlink w:anchor="_Toc30751984" w:history="1">
        <w:r w:rsidR="00B43131" w:rsidRPr="00CC4F72">
          <w:rPr>
            <w:rStyle w:val="Hyperlink"/>
            <w:noProof/>
          </w:rPr>
          <w:t>II.19.2</w:t>
        </w:r>
        <w:r w:rsidR="00B43131">
          <w:rPr>
            <w:rFonts w:asciiTheme="minorHAnsi" w:eastAsiaTheme="minorEastAsia" w:hAnsiTheme="minorHAnsi" w:cstheme="minorBidi"/>
            <w:noProof/>
            <w:sz w:val="22"/>
            <w:szCs w:val="22"/>
            <w:lang w:val="en-GB" w:eastAsia="en-GB" w:bidi="ar-SA"/>
          </w:rPr>
          <w:tab/>
        </w:r>
        <w:r w:rsidR="00B43131" w:rsidRPr="00CC4F72">
          <w:rPr>
            <w:rStyle w:val="Hyperlink"/>
            <w:noProof/>
          </w:rPr>
          <w:t>Upravičeni neposredni stroški</w:t>
        </w:r>
        <w:r w:rsidR="00B43131">
          <w:rPr>
            <w:noProof/>
            <w:webHidden/>
          </w:rPr>
          <w:tab/>
        </w:r>
        <w:r w:rsidR="00B43131">
          <w:rPr>
            <w:noProof/>
            <w:webHidden/>
          </w:rPr>
          <w:fldChar w:fldCharType="begin"/>
        </w:r>
        <w:r w:rsidR="00B43131">
          <w:rPr>
            <w:noProof/>
            <w:webHidden/>
          </w:rPr>
          <w:instrText xml:space="preserve"> PAGEREF _Toc30751984 \h </w:instrText>
        </w:r>
        <w:r w:rsidR="00B43131">
          <w:rPr>
            <w:noProof/>
            <w:webHidden/>
          </w:rPr>
        </w:r>
        <w:r w:rsidR="00B43131">
          <w:rPr>
            <w:noProof/>
            <w:webHidden/>
          </w:rPr>
          <w:fldChar w:fldCharType="separate"/>
        </w:r>
        <w:r w:rsidR="00B43131">
          <w:rPr>
            <w:noProof/>
            <w:webHidden/>
          </w:rPr>
          <w:t>19</w:t>
        </w:r>
        <w:r w:rsidR="00B43131">
          <w:rPr>
            <w:noProof/>
            <w:webHidden/>
          </w:rPr>
          <w:fldChar w:fldCharType="end"/>
        </w:r>
      </w:hyperlink>
    </w:p>
    <w:p w14:paraId="2B8F9CC5" w14:textId="0A535F72" w:rsidR="00B43131" w:rsidRDefault="002A53B9">
      <w:pPr>
        <w:pStyle w:val="TOC3"/>
        <w:tabs>
          <w:tab w:val="left" w:pos="2880"/>
        </w:tabs>
        <w:rPr>
          <w:rFonts w:asciiTheme="minorHAnsi" w:eastAsiaTheme="minorEastAsia" w:hAnsiTheme="minorHAnsi" w:cstheme="minorBidi"/>
          <w:noProof/>
          <w:sz w:val="22"/>
          <w:szCs w:val="22"/>
          <w:lang w:val="en-GB" w:eastAsia="en-GB" w:bidi="ar-SA"/>
        </w:rPr>
      </w:pPr>
      <w:hyperlink w:anchor="_Toc30751985" w:history="1">
        <w:r w:rsidR="00B43131" w:rsidRPr="00CC4F72">
          <w:rPr>
            <w:rStyle w:val="Hyperlink"/>
            <w:noProof/>
          </w:rPr>
          <w:t>II.19.3</w:t>
        </w:r>
        <w:r w:rsidR="00B43131">
          <w:rPr>
            <w:rFonts w:asciiTheme="minorHAnsi" w:eastAsiaTheme="minorEastAsia" w:hAnsiTheme="minorHAnsi" w:cstheme="minorBidi"/>
            <w:noProof/>
            <w:sz w:val="22"/>
            <w:szCs w:val="22"/>
            <w:lang w:val="en-GB" w:eastAsia="en-GB" w:bidi="ar-SA"/>
          </w:rPr>
          <w:tab/>
        </w:r>
        <w:r w:rsidR="00B43131" w:rsidRPr="00CC4F72">
          <w:rPr>
            <w:rStyle w:val="Hyperlink"/>
            <w:noProof/>
          </w:rPr>
          <w:t>Upravičeni posredni stroški</w:t>
        </w:r>
        <w:r w:rsidR="00B43131">
          <w:rPr>
            <w:noProof/>
            <w:webHidden/>
          </w:rPr>
          <w:tab/>
        </w:r>
        <w:r w:rsidR="00B43131">
          <w:rPr>
            <w:noProof/>
            <w:webHidden/>
          </w:rPr>
          <w:fldChar w:fldCharType="begin"/>
        </w:r>
        <w:r w:rsidR="00B43131">
          <w:rPr>
            <w:noProof/>
            <w:webHidden/>
          </w:rPr>
          <w:instrText xml:space="preserve"> PAGEREF _Toc30751985 \h </w:instrText>
        </w:r>
        <w:r w:rsidR="00B43131">
          <w:rPr>
            <w:noProof/>
            <w:webHidden/>
          </w:rPr>
        </w:r>
        <w:r w:rsidR="00B43131">
          <w:rPr>
            <w:noProof/>
            <w:webHidden/>
          </w:rPr>
          <w:fldChar w:fldCharType="separate"/>
        </w:r>
        <w:r w:rsidR="00B43131">
          <w:rPr>
            <w:noProof/>
            <w:webHidden/>
          </w:rPr>
          <w:t>20</w:t>
        </w:r>
        <w:r w:rsidR="00B43131">
          <w:rPr>
            <w:noProof/>
            <w:webHidden/>
          </w:rPr>
          <w:fldChar w:fldCharType="end"/>
        </w:r>
      </w:hyperlink>
    </w:p>
    <w:p w14:paraId="3F7DFFB8" w14:textId="07BD92A8" w:rsidR="00B43131" w:rsidRDefault="002A53B9">
      <w:pPr>
        <w:pStyle w:val="TOC3"/>
        <w:tabs>
          <w:tab w:val="left" w:pos="2880"/>
        </w:tabs>
        <w:rPr>
          <w:rFonts w:asciiTheme="minorHAnsi" w:eastAsiaTheme="minorEastAsia" w:hAnsiTheme="minorHAnsi" w:cstheme="minorBidi"/>
          <w:noProof/>
          <w:sz w:val="22"/>
          <w:szCs w:val="22"/>
          <w:lang w:val="en-GB" w:eastAsia="en-GB" w:bidi="ar-SA"/>
        </w:rPr>
      </w:pPr>
      <w:hyperlink w:anchor="_Toc30751986" w:history="1">
        <w:r w:rsidR="00B43131" w:rsidRPr="00CC4F72">
          <w:rPr>
            <w:rStyle w:val="Hyperlink"/>
            <w:noProof/>
          </w:rPr>
          <w:t>II.19.4</w:t>
        </w:r>
        <w:r w:rsidR="00B43131">
          <w:rPr>
            <w:rFonts w:asciiTheme="minorHAnsi" w:eastAsiaTheme="minorEastAsia" w:hAnsiTheme="minorHAnsi" w:cstheme="minorBidi"/>
            <w:noProof/>
            <w:sz w:val="22"/>
            <w:szCs w:val="22"/>
            <w:lang w:val="en-GB" w:eastAsia="en-GB" w:bidi="ar-SA"/>
          </w:rPr>
          <w:tab/>
        </w:r>
        <w:r w:rsidR="00B43131" w:rsidRPr="00CC4F72">
          <w:rPr>
            <w:rStyle w:val="Hyperlink"/>
            <w:noProof/>
          </w:rPr>
          <w:t>Neupravičeni stroški</w:t>
        </w:r>
        <w:r w:rsidR="00B43131">
          <w:rPr>
            <w:noProof/>
            <w:webHidden/>
          </w:rPr>
          <w:tab/>
        </w:r>
        <w:r w:rsidR="00B43131">
          <w:rPr>
            <w:noProof/>
            <w:webHidden/>
          </w:rPr>
          <w:fldChar w:fldCharType="begin"/>
        </w:r>
        <w:r w:rsidR="00B43131">
          <w:rPr>
            <w:noProof/>
            <w:webHidden/>
          </w:rPr>
          <w:instrText xml:space="preserve"> PAGEREF _Toc30751986 \h </w:instrText>
        </w:r>
        <w:r w:rsidR="00B43131">
          <w:rPr>
            <w:noProof/>
            <w:webHidden/>
          </w:rPr>
        </w:r>
        <w:r w:rsidR="00B43131">
          <w:rPr>
            <w:noProof/>
            <w:webHidden/>
          </w:rPr>
          <w:fldChar w:fldCharType="separate"/>
        </w:r>
        <w:r w:rsidR="00B43131">
          <w:rPr>
            <w:noProof/>
            <w:webHidden/>
          </w:rPr>
          <w:t>21</w:t>
        </w:r>
        <w:r w:rsidR="00B43131">
          <w:rPr>
            <w:noProof/>
            <w:webHidden/>
          </w:rPr>
          <w:fldChar w:fldCharType="end"/>
        </w:r>
      </w:hyperlink>
    </w:p>
    <w:p w14:paraId="5FC7FAA0" w14:textId="694645EC" w:rsidR="00B43131" w:rsidRDefault="002A53B9">
      <w:pPr>
        <w:pStyle w:val="TOC2"/>
        <w:rPr>
          <w:rFonts w:asciiTheme="minorHAnsi" w:eastAsiaTheme="minorEastAsia" w:hAnsiTheme="minorHAnsi" w:cstheme="minorBidi"/>
          <w:noProof/>
          <w:sz w:val="22"/>
          <w:szCs w:val="22"/>
          <w:lang w:val="en-GB" w:eastAsia="en-GB" w:bidi="ar-SA"/>
        </w:rPr>
      </w:pPr>
      <w:hyperlink w:anchor="_Toc30751987" w:history="1">
        <w:r w:rsidR="00B43131" w:rsidRPr="00CC4F72">
          <w:rPr>
            <w:rStyle w:val="Hyperlink"/>
            <w:noProof/>
          </w:rPr>
          <w:t>ČLEN II.20 – DOLOČLJIVOST IN PREVERLJIVOST PRIJAVLJENIH ZNESKOV</w:t>
        </w:r>
        <w:r w:rsidR="00B43131">
          <w:rPr>
            <w:noProof/>
            <w:webHidden/>
          </w:rPr>
          <w:tab/>
        </w:r>
        <w:r w:rsidR="00B43131">
          <w:rPr>
            <w:noProof/>
            <w:webHidden/>
          </w:rPr>
          <w:fldChar w:fldCharType="begin"/>
        </w:r>
        <w:r w:rsidR="00B43131">
          <w:rPr>
            <w:noProof/>
            <w:webHidden/>
          </w:rPr>
          <w:instrText xml:space="preserve"> PAGEREF _Toc30751987 \h </w:instrText>
        </w:r>
        <w:r w:rsidR="00B43131">
          <w:rPr>
            <w:noProof/>
            <w:webHidden/>
          </w:rPr>
        </w:r>
        <w:r w:rsidR="00B43131">
          <w:rPr>
            <w:noProof/>
            <w:webHidden/>
          </w:rPr>
          <w:fldChar w:fldCharType="separate"/>
        </w:r>
        <w:r w:rsidR="00B43131">
          <w:rPr>
            <w:noProof/>
            <w:webHidden/>
          </w:rPr>
          <w:t>21</w:t>
        </w:r>
        <w:r w:rsidR="00B43131">
          <w:rPr>
            <w:noProof/>
            <w:webHidden/>
          </w:rPr>
          <w:fldChar w:fldCharType="end"/>
        </w:r>
      </w:hyperlink>
    </w:p>
    <w:p w14:paraId="15E6C297" w14:textId="3AB9567B" w:rsidR="00B43131" w:rsidRDefault="002A53B9">
      <w:pPr>
        <w:pStyle w:val="TOC3"/>
        <w:rPr>
          <w:rFonts w:asciiTheme="minorHAnsi" w:eastAsiaTheme="minorEastAsia" w:hAnsiTheme="minorHAnsi" w:cstheme="minorBidi"/>
          <w:noProof/>
          <w:sz w:val="22"/>
          <w:szCs w:val="22"/>
          <w:lang w:val="en-GB" w:eastAsia="en-GB" w:bidi="ar-SA"/>
        </w:rPr>
      </w:pPr>
      <w:hyperlink w:anchor="_Toc30751988" w:history="1">
        <w:r w:rsidR="00B43131" w:rsidRPr="00CC4F72">
          <w:rPr>
            <w:rStyle w:val="Hyperlink"/>
            <w:noProof/>
          </w:rPr>
          <w:t>II.20.1 Prijavljanje stroškov in prispevkov</w:t>
        </w:r>
        <w:r w:rsidR="00B43131">
          <w:rPr>
            <w:noProof/>
            <w:webHidden/>
          </w:rPr>
          <w:tab/>
        </w:r>
        <w:r w:rsidR="00B43131">
          <w:rPr>
            <w:noProof/>
            <w:webHidden/>
          </w:rPr>
          <w:fldChar w:fldCharType="begin"/>
        </w:r>
        <w:r w:rsidR="00B43131">
          <w:rPr>
            <w:noProof/>
            <w:webHidden/>
          </w:rPr>
          <w:instrText xml:space="preserve"> PAGEREF _Toc30751988 \h </w:instrText>
        </w:r>
        <w:r w:rsidR="00B43131">
          <w:rPr>
            <w:noProof/>
            <w:webHidden/>
          </w:rPr>
        </w:r>
        <w:r w:rsidR="00B43131">
          <w:rPr>
            <w:noProof/>
            <w:webHidden/>
          </w:rPr>
          <w:fldChar w:fldCharType="separate"/>
        </w:r>
        <w:r w:rsidR="00B43131">
          <w:rPr>
            <w:noProof/>
            <w:webHidden/>
          </w:rPr>
          <w:t>21</w:t>
        </w:r>
        <w:r w:rsidR="00B43131">
          <w:rPr>
            <w:noProof/>
            <w:webHidden/>
          </w:rPr>
          <w:fldChar w:fldCharType="end"/>
        </w:r>
      </w:hyperlink>
    </w:p>
    <w:p w14:paraId="50C3D500" w14:textId="7F332C80" w:rsidR="00B43131" w:rsidRDefault="002A53B9">
      <w:pPr>
        <w:pStyle w:val="TOC3"/>
        <w:tabs>
          <w:tab w:val="left" w:pos="2880"/>
        </w:tabs>
        <w:rPr>
          <w:rFonts w:asciiTheme="minorHAnsi" w:eastAsiaTheme="minorEastAsia" w:hAnsiTheme="minorHAnsi" w:cstheme="minorBidi"/>
          <w:noProof/>
          <w:sz w:val="22"/>
          <w:szCs w:val="22"/>
          <w:lang w:val="en-GB" w:eastAsia="en-GB" w:bidi="ar-SA"/>
        </w:rPr>
      </w:pPr>
      <w:hyperlink w:anchor="_Toc30751989" w:history="1">
        <w:r w:rsidR="00B43131" w:rsidRPr="00CC4F72">
          <w:rPr>
            <w:rStyle w:val="Hyperlink"/>
            <w:noProof/>
          </w:rPr>
          <w:t>II.20.2</w:t>
        </w:r>
        <w:r w:rsidR="00B43131">
          <w:rPr>
            <w:rFonts w:asciiTheme="minorHAnsi" w:eastAsiaTheme="minorEastAsia" w:hAnsiTheme="minorHAnsi" w:cstheme="minorBidi"/>
            <w:noProof/>
            <w:sz w:val="22"/>
            <w:szCs w:val="22"/>
            <w:lang w:val="en-GB" w:eastAsia="en-GB" w:bidi="ar-SA"/>
          </w:rPr>
          <w:tab/>
        </w:r>
        <w:r w:rsidR="00B43131" w:rsidRPr="00CC4F72">
          <w:rPr>
            <w:rStyle w:val="Hyperlink"/>
            <w:noProof/>
          </w:rPr>
          <w:t>Dokumenti in druga dokazila za utemeljitev prijavljenih stroškov in prispevkov</w:t>
        </w:r>
        <w:r w:rsidR="00B43131">
          <w:rPr>
            <w:noProof/>
            <w:webHidden/>
          </w:rPr>
          <w:tab/>
        </w:r>
        <w:r w:rsidR="00B43131">
          <w:rPr>
            <w:noProof/>
            <w:webHidden/>
          </w:rPr>
          <w:fldChar w:fldCharType="begin"/>
        </w:r>
        <w:r w:rsidR="00B43131">
          <w:rPr>
            <w:noProof/>
            <w:webHidden/>
          </w:rPr>
          <w:instrText xml:space="preserve"> PAGEREF _Toc30751989 \h </w:instrText>
        </w:r>
        <w:r w:rsidR="00B43131">
          <w:rPr>
            <w:noProof/>
            <w:webHidden/>
          </w:rPr>
        </w:r>
        <w:r w:rsidR="00B43131">
          <w:rPr>
            <w:noProof/>
            <w:webHidden/>
          </w:rPr>
          <w:fldChar w:fldCharType="separate"/>
        </w:r>
        <w:r w:rsidR="00B43131">
          <w:rPr>
            <w:noProof/>
            <w:webHidden/>
          </w:rPr>
          <w:t>22</w:t>
        </w:r>
        <w:r w:rsidR="00B43131">
          <w:rPr>
            <w:noProof/>
            <w:webHidden/>
          </w:rPr>
          <w:fldChar w:fldCharType="end"/>
        </w:r>
      </w:hyperlink>
    </w:p>
    <w:p w14:paraId="03CF390B" w14:textId="4609CFBF" w:rsidR="00B43131" w:rsidRDefault="002A53B9">
      <w:pPr>
        <w:pStyle w:val="TOC3"/>
        <w:rPr>
          <w:rFonts w:asciiTheme="minorHAnsi" w:eastAsiaTheme="minorEastAsia" w:hAnsiTheme="minorHAnsi" w:cstheme="minorBidi"/>
          <w:noProof/>
          <w:sz w:val="22"/>
          <w:szCs w:val="22"/>
          <w:lang w:val="en-GB" w:eastAsia="en-GB" w:bidi="ar-SA"/>
        </w:rPr>
      </w:pPr>
      <w:hyperlink w:anchor="_Toc30751990" w:history="1">
        <w:r w:rsidR="00B43131" w:rsidRPr="00CC4F72">
          <w:rPr>
            <w:rStyle w:val="Hyperlink"/>
            <w:noProof/>
          </w:rPr>
          <w:t>II.20.3 Pogoji za določitev skladnosti praks stroškovnega računovodstva</w:t>
        </w:r>
        <w:r w:rsidR="00B43131">
          <w:rPr>
            <w:noProof/>
            <w:webHidden/>
          </w:rPr>
          <w:tab/>
        </w:r>
        <w:r w:rsidR="00B43131">
          <w:rPr>
            <w:noProof/>
            <w:webHidden/>
          </w:rPr>
          <w:fldChar w:fldCharType="begin"/>
        </w:r>
        <w:r w:rsidR="00B43131">
          <w:rPr>
            <w:noProof/>
            <w:webHidden/>
          </w:rPr>
          <w:instrText xml:space="preserve"> PAGEREF _Toc30751990 \h </w:instrText>
        </w:r>
        <w:r w:rsidR="00B43131">
          <w:rPr>
            <w:noProof/>
            <w:webHidden/>
          </w:rPr>
        </w:r>
        <w:r w:rsidR="00B43131">
          <w:rPr>
            <w:noProof/>
            <w:webHidden/>
          </w:rPr>
          <w:fldChar w:fldCharType="separate"/>
        </w:r>
        <w:r w:rsidR="00B43131">
          <w:rPr>
            <w:noProof/>
            <w:webHidden/>
          </w:rPr>
          <w:t>23</w:t>
        </w:r>
        <w:r w:rsidR="00B43131">
          <w:rPr>
            <w:noProof/>
            <w:webHidden/>
          </w:rPr>
          <w:fldChar w:fldCharType="end"/>
        </w:r>
      </w:hyperlink>
    </w:p>
    <w:p w14:paraId="3FCC1EE2" w14:textId="1679B646" w:rsidR="00B43131" w:rsidRDefault="002A53B9">
      <w:pPr>
        <w:pStyle w:val="TOC2"/>
        <w:rPr>
          <w:rFonts w:asciiTheme="minorHAnsi" w:eastAsiaTheme="minorEastAsia" w:hAnsiTheme="minorHAnsi" w:cstheme="minorBidi"/>
          <w:noProof/>
          <w:sz w:val="22"/>
          <w:szCs w:val="22"/>
          <w:lang w:val="en-GB" w:eastAsia="en-GB" w:bidi="ar-SA"/>
        </w:rPr>
      </w:pPr>
      <w:hyperlink w:anchor="_Toc30751991" w:history="1">
        <w:r w:rsidR="00B43131" w:rsidRPr="00CC4F72">
          <w:rPr>
            <w:rStyle w:val="Hyperlink"/>
            <w:noProof/>
          </w:rPr>
          <w:t>ČLEN II.21 – UPRAVIČENOST STROŠKOV SUBJEKTOV, KI SO POVEZANI Z UPRAVIČENCEM</w:t>
        </w:r>
        <w:r w:rsidR="00B43131">
          <w:rPr>
            <w:noProof/>
            <w:webHidden/>
          </w:rPr>
          <w:tab/>
        </w:r>
        <w:r w:rsidR="00B43131">
          <w:rPr>
            <w:noProof/>
            <w:webHidden/>
          </w:rPr>
          <w:fldChar w:fldCharType="begin"/>
        </w:r>
        <w:r w:rsidR="00B43131">
          <w:rPr>
            <w:noProof/>
            <w:webHidden/>
          </w:rPr>
          <w:instrText xml:space="preserve"> PAGEREF _Toc30751991 \h </w:instrText>
        </w:r>
        <w:r w:rsidR="00B43131">
          <w:rPr>
            <w:noProof/>
            <w:webHidden/>
          </w:rPr>
        </w:r>
        <w:r w:rsidR="00B43131">
          <w:rPr>
            <w:noProof/>
            <w:webHidden/>
          </w:rPr>
          <w:fldChar w:fldCharType="separate"/>
        </w:r>
        <w:r w:rsidR="00B43131">
          <w:rPr>
            <w:noProof/>
            <w:webHidden/>
          </w:rPr>
          <w:t>24</w:t>
        </w:r>
        <w:r w:rsidR="00B43131">
          <w:rPr>
            <w:noProof/>
            <w:webHidden/>
          </w:rPr>
          <w:fldChar w:fldCharType="end"/>
        </w:r>
      </w:hyperlink>
    </w:p>
    <w:p w14:paraId="14C98D4F" w14:textId="150284C3" w:rsidR="00B43131" w:rsidRDefault="002A53B9">
      <w:pPr>
        <w:pStyle w:val="TOC2"/>
        <w:rPr>
          <w:rFonts w:asciiTheme="minorHAnsi" w:eastAsiaTheme="minorEastAsia" w:hAnsiTheme="minorHAnsi" w:cstheme="minorBidi"/>
          <w:noProof/>
          <w:sz w:val="22"/>
          <w:szCs w:val="22"/>
          <w:lang w:val="en-GB" w:eastAsia="en-GB" w:bidi="ar-SA"/>
        </w:rPr>
      </w:pPr>
      <w:hyperlink w:anchor="_Toc30751992" w:history="1">
        <w:r w:rsidR="00B43131" w:rsidRPr="00CC4F72">
          <w:rPr>
            <w:rStyle w:val="Hyperlink"/>
            <w:noProof/>
          </w:rPr>
          <w:t>ČLEN II.22 – PRORAČUNSKE PRERAZPOREDITVE</w:t>
        </w:r>
        <w:r w:rsidR="00B43131">
          <w:rPr>
            <w:noProof/>
            <w:webHidden/>
          </w:rPr>
          <w:tab/>
        </w:r>
        <w:r w:rsidR="00B43131">
          <w:rPr>
            <w:noProof/>
            <w:webHidden/>
          </w:rPr>
          <w:fldChar w:fldCharType="begin"/>
        </w:r>
        <w:r w:rsidR="00B43131">
          <w:rPr>
            <w:noProof/>
            <w:webHidden/>
          </w:rPr>
          <w:instrText xml:space="preserve"> PAGEREF _Toc30751992 \h </w:instrText>
        </w:r>
        <w:r w:rsidR="00B43131">
          <w:rPr>
            <w:noProof/>
            <w:webHidden/>
          </w:rPr>
        </w:r>
        <w:r w:rsidR="00B43131">
          <w:rPr>
            <w:noProof/>
            <w:webHidden/>
          </w:rPr>
          <w:fldChar w:fldCharType="separate"/>
        </w:r>
        <w:r w:rsidR="00B43131">
          <w:rPr>
            <w:noProof/>
            <w:webHidden/>
          </w:rPr>
          <w:t>24</w:t>
        </w:r>
        <w:r w:rsidR="00B43131">
          <w:rPr>
            <w:noProof/>
            <w:webHidden/>
          </w:rPr>
          <w:fldChar w:fldCharType="end"/>
        </w:r>
      </w:hyperlink>
    </w:p>
    <w:p w14:paraId="133ED4F0" w14:textId="4D738673" w:rsidR="00B43131" w:rsidRDefault="002A53B9">
      <w:pPr>
        <w:pStyle w:val="TOC2"/>
        <w:rPr>
          <w:rFonts w:asciiTheme="minorHAnsi" w:eastAsiaTheme="minorEastAsia" w:hAnsiTheme="minorHAnsi" w:cstheme="minorBidi"/>
          <w:noProof/>
          <w:sz w:val="22"/>
          <w:szCs w:val="22"/>
          <w:lang w:val="en-GB" w:eastAsia="en-GB" w:bidi="ar-SA"/>
        </w:rPr>
      </w:pPr>
      <w:hyperlink w:anchor="_Toc30751993" w:history="1">
        <w:r w:rsidR="00B43131" w:rsidRPr="00CC4F72">
          <w:rPr>
            <w:rStyle w:val="Hyperlink"/>
            <w:noProof/>
          </w:rPr>
          <w:t>ČLEN II.23 – NESKLADNOST Z OBVEZNOSTMI POROČANJA</w:t>
        </w:r>
        <w:r w:rsidR="00B43131">
          <w:rPr>
            <w:noProof/>
            <w:webHidden/>
          </w:rPr>
          <w:tab/>
        </w:r>
        <w:r w:rsidR="00B43131">
          <w:rPr>
            <w:noProof/>
            <w:webHidden/>
          </w:rPr>
          <w:fldChar w:fldCharType="begin"/>
        </w:r>
        <w:r w:rsidR="00B43131">
          <w:rPr>
            <w:noProof/>
            <w:webHidden/>
          </w:rPr>
          <w:instrText xml:space="preserve"> PAGEREF _Toc30751993 \h </w:instrText>
        </w:r>
        <w:r w:rsidR="00B43131">
          <w:rPr>
            <w:noProof/>
            <w:webHidden/>
          </w:rPr>
        </w:r>
        <w:r w:rsidR="00B43131">
          <w:rPr>
            <w:noProof/>
            <w:webHidden/>
          </w:rPr>
          <w:fldChar w:fldCharType="separate"/>
        </w:r>
        <w:r w:rsidR="00B43131">
          <w:rPr>
            <w:noProof/>
            <w:webHidden/>
          </w:rPr>
          <w:t>24</w:t>
        </w:r>
        <w:r w:rsidR="00B43131">
          <w:rPr>
            <w:noProof/>
            <w:webHidden/>
          </w:rPr>
          <w:fldChar w:fldCharType="end"/>
        </w:r>
      </w:hyperlink>
    </w:p>
    <w:p w14:paraId="6C7BA85E" w14:textId="7D62459B" w:rsidR="00B43131" w:rsidRDefault="002A53B9">
      <w:pPr>
        <w:pStyle w:val="TOC2"/>
        <w:rPr>
          <w:rFonts w:asciiTheme="minorHAnsi" w:eastAsiaTheme="minorEastAsia" w:hAnsiTheme="minorHAnsi" w:cstheme="minorBidi"/>
          <w:noProof/>
          <w:sz w:val="22"/>
          <w:szCs w:val="22"/>
          <w:lang w:val="en-GB" w:eastAsia="en-GB" w:bidi="ar-SA"/>
        </w:rPr>
      </w:pPr>
      <w:hyperlink w:anchor="_Toc30751994" w:history="1">
        <w:r w:rsidR="00B43131" w:rsidRPr="00CC4F72">
          <w:rPr>
            <w:rStyle w:val="Hyperlink"/>
            <w:noProof/>
          </w:rPr>
          <w:t>ČLEN II.24 – ZAČASNA USTAVITEV PLAČIL IN ZAČASNA PREKINITEV PLAČILNIH ROKOV</w:t>
        </w:r>
        <w:r w:rsidR="00B43131">
          <w:rPr>
            <w:noProof/>
            <w:webHidden/>
          </w:rPr>
          <w:tab/>
        </w:r>
        <w:r w:rsidR="00B43131">
          <w:rPr>
            <w:noProof/>
            <w:webHidden/>
          </w:rPr>
          <w:fldChar w:fldCharType="begin"/>
        </w:r>
        <w:r w:rsidR="00B43131">
          <w:rPr>
            <w:noProof/>
            <w:webHidden/>
          </w:rPr>
          <w:instrText xml:space="preserve"> PAGEREF _Toc30751994 \h </w:instrText>
        </w:r>
        <w:r w:rsidR="00B43131">
          <w:rPr>
            <w:noProof/>
            <w:webHidden/>
          </w:rPr>
        </w:r>
        <w:r w:rsidR="00B43131">
          <w:rPr>
            <w:noProof/>
            <w:webHidden/>
          </w:rPr>
          <w:fldChar w:fldCharType="separate"/>
        </w:r>
        <w:r w:rsidR="00B43131">
          <w:rPr>
            <w:noProof/>
            <w:webHidden/>
          </w:rPr>
          <w:t>24</w:t>
        </w:r>
        <w:r w:rsidR="00B43131">
          <w:rPr>
            <w:noProof/>
            <w:webHidden/>
          </w:rPr>
          <w:fldChar w:fldCharType="end"/>
        </w:r>
      </w:hyperlink>
    </w:p>
    <w:p w14:paraId="5EF70C4B" w14:textId="149E1703" w:rsidR="00B43131" w:rsidRDefault="002A53B9">
      <w:pPr>
        <w:pStyle w:val="TOC3"/>
        <w:rPr>
          <w:rFonts w:asciiTheme="minorHAnsi" w:eastAsiaTheme="minorEastAsia" w:hAnsiTheme="minorHAnsi" w:cstheme="minorBidi"/>
          <w:noProof/>
          <w:sz w:val="22"/>
          <w:szCs w:val="22"/>
          <w:lang w:val="en-GB" w:eastAsia="en-GB" w:bidi="ar-SA"/>
        </w:rPr>
      </w:pPr>
      <w:hyperlink w:anchor="_Toc30751995" w:history="1">
        <w:r w:rsidR="00B43131" w:rsidRPr="00CC4F72">
          <w:rPr>
            <w:rStyle w:val="Hyperlink"/>
            <w:noProof/>
          </w:rPr>
          <w:t>II.24.1 Začasna ustavitev plačil</w:t>
        </w:r>
        <w:r w:rsidR="00B43131">
          <w:rPr>
            <w:noProof/>
            <w:webHidden/>
          </w:rPr>
          <w:tab/>
        </w:r>
        <w:r w:rsidR="00B43131">
          <w:rPr>
            <w:noProof/>
            <w:webHidden/>
          </w:rPr>
          <w:fldChar w:fldCharType="begin"/>
        </w:r>
        <w:r w:rsidR="00B43131">
          <w:rPr>
            <w:noProof/>
            <w:webHidden/>
          </w:rPr>
          <w:instrText xml:space="preserve"> PAGEREF _Toc30751995 \h </w:instrText>
        </w:r>
        <w:r w:rsidR="00B43131">
          <w:rPr>
            <w:noProof/>
            <w:webHidden/>
          </w:rPr>
        </w:r>
        <w:r w:rsidR="00B43131">
          <w:rPr>
            <w:noProof/>
            <w:webHidden/>
          </w:rPr>
          <w:fldChar w:fldCharType="separate"/>
        </w:r>
        <w:r w:rsidR="00B43131">
          <w:rPr>
            <w:noProof/>
            <w:webHidden/>
          </w:rPr>
          <w:t>24</w:t>
        </w:r>
        <w:r w:rsidR="00B43131">
          <w:rPr>
            <w:noProof/>
            <w:webHidden/>
          </w:rPr>
          <w:fldChar w:fldCharType="end"/>
        </w:r>
      </w:hyperlink>
    </w:p>
    <w:p w14:paraId="469F73AF" w14:textId="45DE1FD5" w:rsidR="00B43131" w:rsidRDefault="002A53B9">
      <w:pPr>
        <w:pStyle w:val="TOC3"/>
        <w:rPr>
          <w:rFonts w:asciiTheme="minorHAnsi" w:eastAsiaTheme="minorEastAsia" w:hAnsiTheme="minorHAnsi" w:cstheme="minorBidi"/>
          <w:noProof/>
          <w:sz w:val="22"/>
          <w:szCs w:val="22"/>
          <w:lang w:val="en-GB" w:eastAsia="en-GB" w:bidi="ar-SA"/>
        </w:rPr>
      </w:pPr>
      <w:hyperlink w:anchor="_Toc30751996" w:history="1">
        <w:r w:rsidR="00B43131" w:rsidRPr="00CC4F72">
          <w:rPr>
            <w:rStyle w:val="Hyperlink"/>
            <w:noProof/>
          </w:rPr>
          <w:t>II.24.2 Začasna prekinitev plačilnih rokov</w:t>
        </w:r>
        <w:r w:rsidR="00B43131">
          <w:rPr>
            <w:noProof/>
            <w:webHidden/>
          </w:rPr>
          <w:tab/>
        </w:r>
        <w:r w:rsidR="00B43131">
          <w:rPr>
            <w:noProof/>
            <w:webHidden/>
          </w:rPr>
          <w:fldChar w:fldCharType="begin"/>
        </w:r>
        <w:r w:rsidR="00B43131">
          <w:rPr>
            <w:noProof/>
            <w:webHidden/>
          </w:rPr>
          <w:instrText xml:space="preserve"> PAGEREF _Toc30751996 \h </w:instrText>
        </w:r>
        <w:r w:rsidR="00B43131">
          <w:rPr>
            <w:noProof/>
            <w:webHidden/>
          </w:rPr>
        </w:r>
        <w:r w:rsidR="00B43131">
          <w:rPr>
            <w:noProof/>
            <w:webHidden/>
          </w:rPr>
          <w:fldChar w:fldCharType="separate"/>
        </w:r>
        <w:r w:rsidR="00B43131">
          <w:rPr>
            <w:noProof/>
            <w:webHidden/>
          </w:rPr>
          <w:t>26</w:t>
        </w:r>
        <w:r w:rsidR="00B43131">
          <w:rPr>
            <w:noProof/>
            <w:webHidden/>
          </w:rPr>
          <w:fldChar w:fldCharType="end"/>
        </w:r>
      </w:hyperlink>
    </w:p>
    <w:p w14:paraId="6E25E3A0" w14:textId="5F29C663" w:rsidR="00B43131" w:rsidRDefault="002A53B9">
      <w:pPr>
        <w:pStyle w:val="TOC2"/>
        <w:rPr>
          <w:rFonts w:asciiTheme="minorHAnsi" w:eastAsiaTheme="minorEastAsia" w:hAnsiTheme="minorHAnsi" w:cstheme="minorBidi"/>
          <w:noProof/>
          <w:sz w:val="22"/>
          <w:szCs w:val="22"/>
          <w:lang w:val="en-GB" w:eastAsia="en-GB" w:bidi="ar-SA"/>
        </w:rPr>
      </w:pPr>
      <w:hyperlink w:anchor="_Toc30751997" w:history="1">
        <w:r w:rsidR="00B43131" w:rsidRPr="00CC4F72">
          <w:rPr>
            <w:rStyle w:val="Hyperlink"/>
            <w:noProof/>
          </w:rPr>
          <w:t>ČLEN II.25 – IZRAČUN KONČNEGA ZNESKA NEPOVRATNIH SREDSTEV</w:t>
        </w:r>
        <w:r w:rsidR="00B43131">
          <w:rPr>
            <w:noProof/>
            <w:webHidden/>
          </w:rPr>
          <w:tab/>
        </w:r>
        <w:r w:rsidR="00B43131">
          <w:rPr>
            <w:noProof/>
            <w:webHidden/>
          </w:rPr>
          <w:fldChar w:fldCharType="begin"/>
        </w:r>
        <w:r w:rsidR="00B43131">
          <w:rPr>
            <w:noProof/>
            <w:webHidden/>
          </w:rPr>
          <w:instrText xml:space="preserve"> PAGEREF _Toc30751997 \h </w:instrText>
        </w:r>
        <w:r w:rsidR="00B43131">
          <w:rPr>
            <w:noProof/>
            <w:webHidden/>
          </w:rPr>
        </w:r>
        <w:r w:rsidR="00B43131">
          <w:rPr>
            <w:noProof/>
            <w:webHidden/>
          </w:rPr>
          <w:fldChar w:fldCharType="separate"/>
        </w:r>
        <w:r w:rsidR="00B43131">
          <w:rPr>
            <w:noProof/>
            <w:webHidden/>
          </w:rPr>
          <w:t>26</w:t>
        </w:r>
        <w:r w:rsidR="00B43131">
          <w:rPr>
            <w:noProof/>
            <w:webHidden/>
          </w:rPr>
          <w:fldChar w:fldCharType="end"/>
        </w:r>
      </w:hyperlink>
    </w:p>
    <w:p w14:paraId="3E9A7646" w14:textId="322836FB" w:rsidR="00B43131" w:rsidRDefault="002A53B9">
      <w:pPr>
        <w:pStyle w:val="TOC3"/>
        <w:tabs>
          <w:tab w:val="left" w:pos="2880"/>
        </w:tabs>
        <w:rPr>
          <w:rFonts w:asciiTheme="minorHAnsi" w:eastAsiaTheme="minorEastAsia" w:hAnsiTheme="minorHAnsi" w:cstheme="minorBidi"/>
          <w:noProof/>
          <w:sz w:val="22"/>
          <w:szCs w:val="22"/>
          <w:lang w:val="en-GB" w:eastAsia="en-GB" w:bidi="ar-SA"/>
        </w:rPr>
      </w:pPr>
      <w:hyperlink w:anchor="_Toc30751998" w:history="1">
        <w:r w:rsidR="00B43131" w:rsidRPr="00CC4F72">
          <w:rPr>
            <w:rStyle w:val="Hyperlink"/>
            <w:noProof/>
          </w:rPr>
          <w:t>II.25.1</w:t>
        </w:r>
        <w:r w:rsidR="00B43131">
          <w:rPr>
            <w:rFonts w:asciiTheme="minorHAnsi" w:eastAsiaTheme="minorEastAsia" w:hAnsiTheme="minorHAnsi" w:cstheme="minorBidi"/>
            <w:noProof/>
            <w:sz w:val="22"/>
            <w:szCs w:val="22"/>
            <w:lang w:val="en-GB" w:eastAsia="en-GB" w:bidi="ar-SA"/>
          </w:rPr>
          <w:tab/>
        </w:r>
        <w:r w:rsidR="00B43131" w:rsidRPr="00CC4F72">
          <w:rPr>
            <w:rStyle w:val="Hyperlink"/>
            <w:noProof/>
          </w:rPr>
          <w:t>1. korak – uporaba stopnje povračila pri upravičenih stroških in dodatek financiranja, ki ni povezano s stroški, ter prispevkov na enoto, po pavšalni stopnji in v pavšalnem znesku</w:t>
        </w:r>
        <w:r w:rsidR="00B43131">
          <w:rPr>
            <w:noProof/>
            <w:webHidden/>
          </w:rPr>
          <w:tab/>
        </w:r>
        <w:r w:rsidR="00B43131">
          <w:rPr>
            <w:noProof/>
            <w:webHidden/>
          </w:rPr>
          <w:fldChar w:fldCharType="begin"/>
        </w:r>
        <w:r w:rsidR="00B43131">
          <w:rPr>
            <w:noProof/>
            <w:webHidden/>
          </w:rPr>
          <w:instrText xml:space="preserve"> PAGEREF _Toc30751998 \h </w:instrText>
        </w:r>
        <w:r w:rsidR="00B43131">
          <w:rPr>
            <w:noProof/>
            <w:webHidden/>
          </w:rPr>
        </w:r>
        <w:r w:rsidR="00B43131">
          <w:rPr>
            <w:noProof/>
            <w:webHidden/>
          </w:rPr>
          <w:fldChar w:fldCharType="separate"/>
        </w:r>
        <w:r w:rsidR="00B43131">
          <w:rPr>
            <w:noProof/>
            <w:webHidden/>
          </w:rPr>
          <w:t>27</w:t>
        </w:r>
        <w:r w:rsidR="00B43131">
          <w:rPr>
            <w:noProof/>
            <w:webHidden/>
          </w:rPr>
          <w:fldChar w:fldCharType="end"/>
        </w:r>
      </w:hyperlink>
    </w:p>
    <w:p w14:paraId="46B82CBA" w14:textId="1D67DE5D" w:rsidR="00B43131" w:rsidRDefault="002A53B9">
      <w:pPr>
        <w:pStyle w:val="TOC3"/>
        <w:tabs>
          <w:tab w:val="left" w:pos="2880"/>
        </w:tabs>
        <w:rPr>
          <w:rFonts w:asciiTheme="minorHAnsi" w:eastAsiaTheme="minorEastAsia" w:hAnsiTheme="minorHAnsi" w:cstheme="minorBidi"/>
          <w:noProof/>
          <w:sz w:val="22"/>
          <w:szCs w:val="22"/>
          <w:lang w:val="en-GB" w:eastAsia="en-GB" w:bidi="ar-SA"/>
        </w:rPr>
      </w:pPr>
      <w:hyperlink w:anchor="_Toc30751999" w:history="1">
        <w:r w:rsidR="00B43131" w:rsidRPr="00CC4F72">
          <w:rPr>
            <w:rStyle w:val="Hyperlink"/>
            <w:noProof/>
          </w:rPr>
          <w:t>II.25.2</w:t>
        </w:r>
        <w:r w:rsidR="00B43131">
          <w:rPr>
            <w:rFonts w:asciiTheme="minorHAnsi" w:eastAsiaTheme="minorEastAsia" w:hAnsiTheme="minorHAnsi" w:cstheme="minorBidi"/>
            <w:noProof/>
            <w:sz w:val="22"/>
            <w:szCs w:val="22"/>
            <w:lang w:val="en-GB" w:eastAsia="en-GB" w:bidi="ar-SA"/>
          </w:rPr>
          <w:tab/>
        </w:r>
        <w:r w:rsidR="00B43131" w:rsidRPr="00CC4F72">
          <w:rPr>
            <w:rStyle w:val="Hyperlink"/>
            <w:noProof/>
          </w:rPr>
          <w:t xml:space="preserve"> 2. korak – omejitev na najvišji znesek nepovratnih sredstev</w:t>
        </w:r>
        <w:r w:rsidR="00B43131">
          <w:rPr>
            <w:noProof/>
            <w:webHidden/>
          </w:rPr>
          <w:tab/>
        </w:r>
        <w:r w:rsidR="00B43131">
          <w:rPr>
            <w:noProof/>
            <w:webHidden/>
          </w:rPr>
          <w:fldChar w:fldCharType="begin"/>
        </w:r>
        <w:r w:rsidR="00B43131">
          <w:rPr>
            <w:noProof/>
            <w:webHidden/>
          </w:rPr>
          <w:instrText xml:space="preserve"> PAGEREF _Toc30751999 \h </w:instrText>
        </w:r>
        <w:r w:rsidR="00B43131">
          <w:rPr>
            <w:noProof/>
            <w:webHidden/>
          </w:rPr>
        </w:r>
        <w:r w:rsidR="00B43131">
          <w:rPr>
            <w:noProof/>
            <w:webHidden/>
          </w:rPr>
          <w:fldChar w:fldCharType="separate"/>
        </w:r>
        <w:r w:rsidR="00B43131">
          <w:rPr>
            <w:noProof/>
            <w:webHidden/>
          </w:rPr>
          <w:t>28</w:t>
        </w:r>
        <w:r w:rsidR="00B43131">
          <w:rPr>
            <w:noProof/>
            <w:webHidden/>
          </w:rPr>
          <w:fldChar w:fldCharType="end"/>
        </w:r>
      </w:hyperlink>
    </w:p>
    <w:p w14:paraId="2298B87C" w14:textId="4EC9DB0E" w:rsidR="00B43131" w:rsidRDefault="002A53B9">
      <w:pPr>
        <w:pStyle w:val="TOC3"/>
        <w:tabs>
          <w:tab w:val="left" w:pos="2880"/>
        </w:tabs>
        <w:rPr>
          <w:rFonts w:asciiTheme="minorHAnsi" w:eastAsiaTheme="minorEastAsia" w:hAnsiTheme="minorHAnsi" w:cstheme="minorBidi"/>
          <w:noProof/>
          <w:sz w:val="22"/>
          <w:szCs w:val="22"/>
          <w:lang w:val="en-GB" w:eastAsia="en-GB" w:bidi="ar-SA"/>
        </w:rPr>
      </w:pPr>
      <w:hyperlink w:anchor="_Toc30752000" w:history="1">
        <w:r w:rsidR="00B43131" w:rsidRPr="00CC4F72">
          <w:rPr>
            <w:rStyle w:val="Hyperlink"/>
            <w:noProof/>
          </w:rPr>
          <w:t>II.25.3</w:t>
        </w:r>
        <w:r w:rsidR="00B43131">
          <w:rPr>
            <w:rFonts w:asciiTheme="minorHAnsi" w:eastAsiaTheme="minorEastAsia" w:hAnsiTheme="minorHAnsi" w:cstheme="minorBidi"/>
            <w:noProof/>
            <w:sz w:val="22"/>
            <w:szCs w:val="22"/>
            <w:lang w:val="en-GB" w:eastAsia="en-GB" w:bidi="ar-SA"/>
          </w:rPr>
          <w:tab/>
        </w:r>
        <w:r w:rsidR="00B43131" w:rsidRPr="00CC4F72">
          <w:rPr>
            <w:rStyle w:val="Hyperlink"/>
            <w:noProof/>
          </w:rPr>
          <w:t xml:space="preserve"> 3. korak – znižanje zaradi pravila neprofitnosti</w:t>
        </w:r>
        <w:r w:rsidR="00B43131">
          <w:rPr>
            <w:noProof/>
            <w:webHidden/>
          </w:rPr>
          <w:tab/>
        </w:r>
        <w:r w:rsidR="00B43131">
          <w:rPr>
            <w:noProof/>
            <w:webHidden/>
          </w:rPr>
          <w:fldChar w:fldCharType="begin"/>
        </w:r>
        <w:r w:rsidR="00B43131">
          <w:rPr>
            <w:noProof/>
            <w:webHidden/>
          </w:rPr>
          <w:instrText xml:space="preserve"> PAGEREF _Toc30752000 \h </w:instrText>
        </w:r>
        <w:r w:rsidR="00B43131">
          <w:rPr>
            <w:noProof/>
            <w:webHidden/>
          </w:rPr>
        </w:r>
        <w:r w:rsidR="00B43131">
          <w:rPr>
            <w:noProof/>
            <w:webHidden/>
          </w:rPr>
          <w:fldChar w:fldCharType="separate"/>
        </w:r>
        <w:r w:rsidR="00B43131">
          <w:rPr>
            <w:noProof/>
            <w:webHidden/>
          </w:rPr>
          <w:t>28</w:t>
        </w:r>
        <w:r w:rsidR="00B43131">
          <w:rPr>
            <w:noProof/>
            <w:webHidden/>
          </w:rPr>
          <w:fldChar w:fldCharType="end"/>
        </w:r>
      </w:hyperlink>
    </w:p>
    <w:p w14:paraId="57EA2983" w14:textId="2FB8B4F3" w:rsidR="00B43131" w:rsidRDefault="002A53B9">
      <w:pPr>
        <w:pStyle w:val="TOC3"/>
        <w:tabs>
          <w:tab w:val="left" w:pos="2880"/>
        </w:tabs>
        <w:rPr>
          <w:rFonts w:asciiTheme="minorHAnsi" w:eastAsiaTheme="minorEastAsia" w:hAnsiTheme="minorHAnsi" w:cstheme="minorBidi"/>
          <w:noProof/>
          <w:sz w:val="22"/>
          <w:szCs w:val="22"/>
          <w:lang w:val="en-GB" w:eastAsia="en-GB" w:bidi="ar-SA"/>
        </w:rPr>
      </w:pPr>
      <w:hyperlink w:anchor="_Toc30752001" w:history="1">
        <w:r w:rsidR="00B43131" w:rsidRPr="00CC4F72">
          <w:rPr>
            <w:rStyle w:val="Hyperlink"/>
            <w:noProof/>
          </w:rPr>
          <w:t>II.25.4</w:t>
        </w:r>
        <w:r w:rsidR="00B43131">
          <w:rPr>
            <w:rFonts w:asciiTheme="minorHAnsi" w:eastAsiaTheme="minorEastAsia" w:hAnsiTheme="minorHAnsi" w:cstheme="minorBidi"/>
            <w:noProof/>
            <w:sz w:val="22"/>
            <w:szCs w:val="22"/>
            <w:lang w:val="en-GB" w:eastAsia="en-GB" w:bidi="ar-SA"/>
          </w:rPr>
          <w:tab/>
        </w:r>
        <w:r w:rsidR="00B43131" w:rsidRPr="00CC4F72">
          <w:rPr>
            <w:rStyle w:val="Hyperlink"/>
            <w:noProof/>
          </w:rPr>
          <w:t>4. korak – znižanje zaradi nepravilnega izvajanja ali kršitve drugih obveznosti</w:t>
        </w:r>
        <w:r w:rsidR="00B43131">
          <w:rPr>
            <w:noProof/>
            <w:webHidden/>
          </w:rPr>
          <w:tab/>
        </w:r>
        <w:r w:rsidR="00B43131">
          <w:rPr>
            <w:noProof/>
            <w:webHidden/>
          </w:rPr>
          <w:fldChar w:fldCharType="begin"/>
        </w:r>
        <w:r w:rsidR="00B43131">
          <w:rPr>
            <w:noProof/>
            <w:webHidden/>
          </w:rPr>
          <w:instrText xml:space="preserve"> PAGEREF _Toc30752001 \h </w:instrText>
        </w:r>
        <w:r w:rsidR="00B43131">
          <w:rPr>
            <w:noProof/>
            <w:webHidden/>
          </w:rPr>
        </w:r>
        <w:r w:rsidR="00B43131">
          <w:rPr>
            <w:noProof/>
            <w:webHidden/>
          </w:rPr>
          <w:fldChar w:fldCharType="separate"/>
        </w:r>
        <w:r w:rsidR="00B43131">
          <w:rPr>
            <w:noProof/>
            <w:webHidden/>
          </w:rPr>
          <w:t>29</w:t>
        </w:r>
        <w:r w:rsidR="00B43131">
          <w:rPr>
            <w:noProof/>
            <w:webHidden/>
          </w:rPr>
          <w:fldChar w:fldCharType="end"/>
        </w:r>
      </w:hyperlink>
    </w:p>
    <w:p w14:paraId="4D4776D5" w14:textId="6B2BAD2F" w:rsidR="00B43131" w:rsidRDefault="002A53B9">
      <w:pPr>
        <w:pStyle w:val="TOC2"/>
        <w:rPr>
          <w:rFonts w:asciiTheme="minorHAnsi" w:eastAsiaTheme="minorEastAsia" w:hAnsiTheme="minorHAnsi" w:cstheme="minorBidi"/>
          <w:noProof/>
          <w:sz w:val="22"/>
          <w:szCs w:val="22"/>
          <w:lang w:val="en-GB" w:eastAsia="en-GB" w:bidi="ar-SA"/>
        </w:rPr>
      </w:pPr>
      <w:hyperlink w:anchor="_Toc30752002" w:history="1">
        <w:r w:rsidR="00B43131" w:rsidRPr="00CC4F72">
          <w:rPr>
            <w:rStyle w:val="Hyperlink"/>
            <w:noProof/>
          </w:rPr>
          <w:t>ČLEN II.26 – IZTERJAVA</w:t>
        </w:r>
        <w:r w:rsidR="00B43131">
          <w:rPr>
            <w:noProof/>
            <w:webHidden/>
          </w:rPr>
          <w:tab/>
        </w:r>
        <w:r w:rsidR="00B43131">
          <w:rPr>
            <w:noProof/>
            <w:webHidden/>
          </w:rPr>
          <w:fldChar w:fldCharType="begin"/>
        </w:r>
        <w:r w:rsidR="00B43131">
          <w:rPr>
            <w:noProof/>
            <w:webHidden/>
          </w:rPr>
          <w:instrText xml:space="preserve"> PAGEREF _Toc30752002 \h </w:instrText>
        </w:r>
        <w:r w:rsidR="00B43131">
          <w:rPr>
            <w:noProof/>
            <w:webHidden/>
          </w:rPr>
        </w:r>
        <w:r w:rsidR="00B43131">
          <w:rPr>
            <w:noProof/>
            <w:webHidden/>
          </w:rPr>
          <w:fldChar w:fldCharType="separate"/>
        </w:r>
        <w:r w:rsidR="00B43131">
          <w:rPr>
            <w:noProof/>
            <w:webHidden/>
          </w:rPr>
          <w:t>29</w:t>
        </w:r>
        <w:r w:rsidR="00B43131">
          <w:rPr>
            <w:noProof/>
            <w:webHidden/>
          </w:rPr>
          <w:fldChar w:fldCharType="end"/>
        </w:r>
      </w:hyperlink>
    </w:p>
    <w:p w14:paraId="49A6A6F7" w14:textId="380CAE46" w:rsidR="00B43131" w:rsidRDefault="002A53B9">
      <w:pPr>
        <w:pStyle w:val="TOC3"/>
        <w:tabs>
          <w:tab w:val="left" w:pos="2880"/>
        </w:tabs>
        <w:rPr>
          <w:rFonts w:asciiTheme="minorHAnsi" w:eastAsiaTheme="minorEastAsia" w:hAnsiTheme="minorHAnsi" w:cstheme="minorBidi"/>
          <w:noProof/>
          <w:sz w:val="22"/>
          <w:szCs w:val="22"/>
          <w:lang w:val="en-GB" w:eastAsia="en-GB" w:bidi="ar-SA"/>
        </w:rPr>
      </w:pPr>
      <w:hyperlink w:anchor="_Toc30752003" w:history="1">
        <w:r w:rsidR="00B43131" w:rsidRPr="00CC4F72">
          <w:rPr>
            <w:rStyle w:val="Hyperlink"/>
            <w:noProof/>
          </w:rPr>
          <w:t>II.26.1</w:t>
        </w:r>
        <w:r w:rsidR="00B43131">
          <w:rPr>
            <w:rFonts w:asciiTheme="minorHAnsi" w:eastAsiaTheme="minorEastAsia" w:hAnsiTheme="minorHAnsi" w:cstheme="minorBidi"/>
            <w:noProof/>
            <w:sz w:val="22"/>
            <w:szCs w:val="22"/>
            <w:lang w:val="en-GB" w:eastAsia="en-GB" w:bidi="ar-SA"/>
          </w:rPr>
          <w:tab/>
        </w:r>
        <w:r w:rsidR="00B43131" w:rsidRPr="00CC4F72">
          <w:rPr>
            <w:rStyle w:val="Hyperlink"/>
            <w:noProof/>
          </w:rPr>
          <w:t>Izterjava</w:t>
        </w:r>
        <w:r w:rsidR="00B43131">
          <w:rPr>
            <w:noProof/>
            <w:webHidden/>
          </w:rPr>
          <w:tab/>
        </w:r>
        <w:r w:rsidR="00B43131">
          <w:rPr>
            <w:noProof/>
            <w:webHidden/>
          </w:rPr>
          <w:fldChar w:fldCharType="begin"/>
        </w:r>
        <w:r w:rsidR="00B43131">
          <w:rPr>
            <w:noProof/>
            <w:webHidden/>
          </w:rPr>
          <w:instrText xml:space="preserve"> PAGEREF _Toc30752003 \h </w:instrText>
        </w:r>
        <w:r w:rsidR="00B43131">
          <w:rPr>
            <w:noProof/>
            <w:webHidden/>
          </w:rPr>
        </w:r>
        <w:r w:rsidR="00B43131">
          <w:rPr>
            <w:noProof/>
            <w:webHidden/>
          </w:rPr>
          <w:fldChar w:fldCharType="separate"/>
        </w:r>
        <w:r w:rsidR="00B43131">
          <w:rPr>
            <w:noProof/>
            <w:webHidden/>
          </w:rPr>
          <w:t>29</w:t>
        </w:r>
        <w:r w:rsidR="00B43131">
          <w:rPr>
            <w:noProof/>
            <w:webHidden/>
          </w:rPr>
          <w:fldChar w:fldCharType="end"/>
        </w:r>
      </w:hyperlink>
    </w:p>
    <w:p w14:paraId="1960268D" w14:textId="3153C385" w:rsidR="00B43131" w:rsidRDefault="002A53B9">
      <w:pPr>
        <w:pStyle w:val="TOC3"/>
        <w:tabs>
          <w:tab w:val="left" w:pos="2880"/>
        </w:tabs>
        <w:rPr>
          <w:rFonts w:asciiTheme="minorHAnsi" w:eastAsiaTheme="minorEastAsia" w:hAnsiTheme="minorHAnsi" w:cstheme="minorBidi"/>
          <w:noProof/>
          <w:sz w:val="22"/>
          <w:szCs w:val="22"/>
          <w:lang w:val="en-GB" w:eastAsia="en-GB" w:bidi="ar-SA"/>
        </w:rPr>
      </w:pPr>
      <w:hyperlink w:anchor="_Toc30752004" w:history="1">
        <w:r w:rsidR="00B43131" w:rsidRPr="00CC4F72">
          <w:rPr>
            <w:rStyle w:val="Hyperlink"/>
            <w:noProof/>
          </w:rPr>
          <w:t>II.26.2</w:t>
        </w:r>
        <w:r w:rsidR="00B43131">
          <w:rPr>
            <w:rFonts w:asciiTheme="minorHAnsi" w:eastAsiaTheme="minorEastAsia" w:hAnsiTheme="minorHAnsi" w:cstheme="minorBidi"/>
            <w:noProof/>
            <w:sz w:val="22"/>
            <w:szCs w:val="22"/>
            <w:lang w:val="en-GB" w:eastAsia="en-GB" w:bidi="ar-SA"/>
          </w:rPr>
          <w:tab/>
        </w:r>
        <w:r w:rsidR="00B43131" w:rsidRPr="00CC4F72">
          <w:rPr>
            <w:rStyle w:val="Hyperlink"/>
            <w:noProof/>
          </w:rPr>
          <w:t>Postopek izterjave</w:t>
        </w:r>
        <w:r w:rsidR="00B43131">
          <w:rPr>
            <w:noProof/>
            <w:webHidden/>
          </w:rPr>
          <w:tab/>
        </w:r>
        <w:r w:rsidR="00B43131">
          <w:rPr>
            <w:noProof/>
            <w:webHidden/>
          </w:rPr>
          <w:fldChar w:fldCharType="begin"/>
        </w:r>
        <w:r w:rsidR="00B43131">
          <w:rPr>
            <w:noProof/>
            <w:webHidden/>
          </w:rPr>
          <w:instrText xml:space="preserve"> PAGEREF _Toc30752004 \h </w:instrText>
        </w:r>
        <w:r w:rsidR="00B43131">
          <w:rPr>
            <w:noProof/>
            <w:webHidden/>
          </w:rPr>
        </w:r>
        <w:r w:rsidR="00B43131">
          <w:rPr>
            <w:noProof/>
            <w:webHidden/>
          </w:rPr>
          <w:fldChar w:fldCharType="separate"/>
        </w:r>
        <w:r w:rsidR="00B43131">
          <w:rPr>
            <w:noProof/>
            <w:webHidden/>
          </w:rPr>
          <w:t>30</w:t>
        </w:r>
        <w:r w:rsidR="00B43131">
          <w:rPr>
            <w:noProof/>
            <w:webHidden/>
          </w:rPr>
          <w:fldChar w:fldCharType="end"/>
        </w:r>
      </w:hyperlink>
    </w:p>
    <w:p w14:paraId="18B3BA61" w14:textId="5CC19B5B" w:rsidR="00B43131" w:rsidRDefault="002A53B9">
      <w:pPr>
        <w:pStyle w:val="TOC3"/>
        <w:tabs>
          <w:tab w:val="left" w:pos="2880"/>
        </w:tabs>
        <w:rPr>
          <w:rFonts w:asciiTheme="minorHAnsi" w:eastAsiaTheme="minorEastAsia" w:hAnsiTheme="minorHAnsi" w:cstheme="minorBidi"/>
          <w:noProof/>
          <w:sz w:val="22"/>
          <w:szCs w:val="22"/>
          <w:lang w:val="en-GB" w:eastAsia="en-GB" w:bidi="ar-SA"/>
        </w:rPr>
      </w:pPr>
      <w:hyperlink w:anchor="_Toc30752005" w:history="1">
        <w:r w:rsidR="00B43131" w:rsidRPr="00CC4F72">
          <w:rPr>
            <w:rStyle w:val="Hyperlink"/>
            <w:noProof/>
          </w:rPr>
          <w:t>II.26.3</w:t>
        </w:r>
        <w:r w:rsidR="00B43131">
          <w:rPr>
            <w:rFonts w:asciiTheme="minorHAnsi" w:eastAsiaTheme="minorEastAsia" w:hAnsiTheme="minorHAnsi" w:cstheme="minorBidi"/>
            <w:noProof/>
            <w:sz w:val="22"/>
            <w:szCs w:val="22"/>
            <w:lang w:val="en-GB" w:eastAsia="en-GB" w:bidi="ar-SA"/>
          </w:rPr>
          <w:tab/>
        </w:r>
        <w:r w:rsidR="00B43131" w:rsidRPr="00CC4F72">
          <w:rPr>
            <w:rStyle w:val="Hyperlink"/>
            <w:noProof/>
          </w:rPr>
          <w:t>Zamudne obresti</w:t>
        </w:r>
        <w:r w:rsidR="00B43131">
          <w:rPr>
            <w:noProof/>
            <w:webHidden/>
          </w:rPr>
          <w:tab/>
        </w:r>
        <w:r w:rsidR="00B43131">
          <w:rPr>
            <w:noProof/>
            <w:webHidden/>
          </w:rPr>
          <w:fldChar w:fldCharType="begin"/>
        </w:r>
        <w:r w:rsidR="00B43131">
          <w:rPr>
            <w:noProof/>
            <w:webHidden/>
          </w:rPr>
          <w:instrText xml:space="preserve"> PAGEREF _Toc30752005 \h </w:instrText>
        </w:r>
        <w:r w:rsidR="00B43131">
          <w:rPr>
            <w:noProof/>
            <w:webHidden/>
          </w:rPr>
        </w:r>
        <w:r w:rsidR="00B43131">
          <w:rPr>
            <w:noProof/>
            <w:webHidden/>
          </w:rPr>
          <w:fldChar w:fldCharType="separate"/>
        </w:r>
        <w:r w:rsidR="00B43131">
          <w:rPr>
            <w:noProof/>
            <w:webHidden/>
          </w:rPr>
          <w:t>30</w:t>
        </w:r>
        <w:r w:rsidR="00B43131">
          <w:rPr>
            <w:noProof/>
            <w:webHidden/>
          </w:rPr>
          <w:fldChar w:fldCharType="end"/>
        </w:r>
      </w:hyperlink>
    </w:p>
    <w:p w14:paraId="4201D5D5" w14:textId="7BA7C59E" w:rsidR="00B43131" w:rsidRDefault="002A53B9">
      <w:pPr>
        <w:pStyle w:val="TOC3"/>
        <w:tabs>
          <w:tab w:val="left" w:pos="2880"/>
        </w:tabs>
        <w:rPr>
          <w:rFonts w:asciiTheme="minorHAnsi" w:eastAsiaTheme="minorEastAsia" w:hAnsiTheme="minorHAnsi" w:cstheme="minorBidi"/>
          <w:noProof/>
          <w:sz w:val="22"/>
          <w:szCs w:val="22"/>
          <w:lang w:val="en-GB" w:eastAsia="en-GB" w:bidi="ar-SA"/>
        </w:rPr>
      </w:pPr>
      <w:hyperlink w:anchor="_Toc30752006" w:history="1">
        <w:r w:rsidR="00B43131" w:rsidRPr="00CC4F72">
          <w:rPr>
            <w:rStyle w:val="Hyperlink"/>
            <w:noProof/>
          </w:rPr>
          <w:t>II.26.4</w:t>
        </w:r>
        <w:r w:rsidR="00B43131">
          <w:rPr>
            <w:rFonts w:asciiTheme="minorHAnsi" w:eastAsiaTheme="minorEastAsia" w:hAnsiTheme="minorHAnsi" w:cstheme="minorBidi"/>
            <w:noProof/>
            <w:sz w:val="22"/>
            <w:szCs w:val="22"/>
            <w:lang w:val="en-GB" w:eastAsia="en-GB" w:bidi="ar-SA"/>
          </w:rPr>
          <w:tab/>
        </w:r>
        <w:r w:rsidR="00B43131" w:rsidRPr="00CC4F72">
          <w:rPr>
            <w:rStyle w:val="Hyperlink"/>
            <w:noProof/>
          </w:rPr>
          <w:t>Bančni stroški</w:t>
        </w:r>
        <w:r w:rsidR="00B43131">
          <w:rPr>
            <w:noProof/>
            <w:webHidden/>
          </w:rPr>
          <w:tab/>
        </w:r>
        <w:r w:rsidR="00B43131">
          <w:rPr>
            <w:noProof/>
            <w:webHidden/>
          </w:rPr>
          <w:fldChar w:fldCharType="begin"/>
        </w:r>
        <w:r w:rsidR="00B43131">
          <w:rPr>
            <w:noProof/>
            <w:webHidden/>
          </w:rPr>
          <w:instrText xml:space="preserve"> PAGEREF _Toc30752006 \h </w:instrText>
        </w:r>
        <w:r w:rsidR="00B43131">
          <w:rPr>
            <w:noProof/>
            <w:webHidden/>
          </w:rPr>
        </w:r>
        <w:r w:rsidR="00B43131">
          <w:rPr>
            <w:noProof/>
            <w:webHidden/>
          </w:rPr>
          <w:fldChar w:fldCharType="separate"/>
        </w:r>
        <w:r w:rsidR="00B43131">
          <w:rPr>
            <w:noProof/>
            <w:webHidden/>
          </w:rPr>
          <w:t>30</w:t>
        </w:r>
        <w:r w:rsidR="00B43131">
          <w:rPr>
            <w:noProof/>
            <w:webHidden/>
          </w:rPr>
          <w:fldChar w:fldCharType="end"/>
        </w:r>
      </w:hyperlink>
    </w:p>
    <w:p w14:paraId="5B7527DD" w14:textId="408847A2" w:rsidR="00B43131" w:rsidRDefault="002A53B9">
      <w:pPr>
        <w:pStyle w:val="TOC2"/>
        <w:rPr>
          <w:rFonts w:asciiTheme="minorHAnsi" w:eastAsiaTheme="minorEastAsia" w:hAnsiTheme="minorHAnsi" w:cstheme="minorBidi"/>
          <w:noProof/>
          <w:sz w:val="22"/>
          <w:szCs w:val="22"/>
          <w:lang w:val="en-GB" w:eastAsia="en-GB" w:bidi="ar-SA"/>
        </w:rPr>
      </w:pPr>
      <w:hyperlink w:anchor="_Toc30752007" w:history="1">
        <w:r w:rsidR="00B43131" w:rsidRPr="00CC4F72">
          <w:rPr>
            <w:rStyle w:val="Hyperlink"/>
            <w:noProof/>
          </w:rPr>
          <w:t>ČLEN II.27 – PREVERJANJA, REVIZIJE IN OCENJEVANJA</w:t>
        </w:r>
        <w:r w:rsidR="00B43131">
          <w:rPr>
            <w:noProof/>
            <w:webHidden/>
          </w:rPr>
          <w:tab/>
        </w:r>
        <w:r w:rsidR="00B43131">
          <w:rPr>
            <w:noProof/>
            <w:webHidden/>
          </w:rPr>
          <w:fldChar w:fldCharType="begin"/>
        </w:r>
        <w:r w:rsidR="00B43131">
          <w:rPr>
            <w:noProof/>
            <w:webHidden/>
          </w:rPr>
          <w:instrText xml:space="preserve"> PAGEREF _Toc30752007 \h </w:instrText>
        </w:r>
        <w:r w:rsidR="00B43131">
          <w:rPr>
            <w:noProof/>
            <w:webHidden/>
          </w:rPr>
        </w:r>
        <w:r w:rsidR="00B43131">
          <w:rPr>
            <w:noProof/>
            <w:webHidden/>
          </w:rPr>
          <w:fldChar w:fldCharType="separate"/>
        </w:r>
        <w:r w:rsidR="00B43131">
          <w:rPr>
            <w:noProof/>
            <w:webHidden/>
          </w:rPr>
          <w:t>31</w:t>
        </w:r>
        <w:r w:rsidR="00B43131">
          <w:rPr>
            <w:noProof/>
            <w:webHidden/>
          </w:rPr>
          <w:fldChar w:fldCharType="end"/>
        </w:r>
      </w:hyperlink>
    </w:p>
    <w:p w14:paraId="3887412C" w14:textId="557692FC" w:rsidR="00B43131" w:rsidRDefault="002A53B9">
      <w:pPr>
        <w:pStyle w:val="TOC3"/>
        <w:tabs>
          <w:tab w:val="left" w:pos="2880"/>
        </w:tabs>
        <w:rPr>
          <w:rFonts w:asciiTheme="minorHAnsi" w:eastAsiaTheme="minorEastAsia" w:hAnsiTheme="minorHAnsi" w:cstheme="minorBidi"/>
          <w:noProof/>
          <w:sz w:val="22"/>
          <w:szCs w:val="22"/>
          <w:lang w:val="en-GB" w:eastAsia="en-GB" w:bidi="ar-SA"/>
        </w:rPr>
      </w:pPr>
      <w:hyperlink w:anchor="_Toc30752008" w:history="1">
        <w:r w:rsidR="00B43131" w:rsidRPr="00CC4F72">
          <w:rPr>
            <w:rStyle w:val="Hyperlink"/>
            <w:noProof/>
          </w:rPr>
          <w:t>II.27.1</w:t>
        </w:r>
        <w:r w:rsidR="00B43131">
          <w:rPr>
            <w:rFonts w:asciiTheme="minorHAnsi" w:eastAsiaTheme="minorEastAsia" w:hAnsiTheme="minorHAnsi" w:cstheme="minorBidi"/>
            <w:noProof/>
            <w:sz w:val="22"/>
            <w:szCs w:val="22"/>
            <w:lang w:val="en-GB" w:eastAsia="en-GB" w:bidi="ar-SA"/>
          </w:rPr>
          <w:tab/>
        </w:r>
        <w:r w:rsidR="00B43131" w:rsidRPr="00CC4F72">
          <w:rPr>
            <w:rStyle w:val="Hyperlink"/>
            <w:noProof/>
          </w:rPr>
          <w:t>Tehnična in finančna preverjanja, revizije, vmesne in končne ocene</w:t>
        </w:r>
        <w:r w:rsidR="00B43131">
          <w:rPr>
            <w:noProof/>
            <w:webHidden/>
          </w:rPr>
          <w:tab/>
        </w:r>
        <w:r w:rsidR="00B43131">
          <w:rPr>
            <w:noProof/>
            <w:webHidden/>
          </w:rPr>
          <w:fldChar w:fldCharType="begin"/>
        </w:r>
        <w:r w:rsidR="00B43131">
          <w:rPr>
            <w:noProof/>
            <w:webHidden/>
          </w:rPr>
          <w:instrText xml:space="preserve"> PAGEREF _Toc30752008 \h </w:instrText>
        </w:r>
        <w:r w:rsidR="00B43131">
          <w:rPr>
            <w:noProof/>
            <w:webHidden/>
          </w:rPr>
        </w:r>
        <w:r w:rsidR="00B43131">
          <w:rPr>
            <w:noProof/>
            <w:webHidden/>
          </w:rPr>
          <w:fldChar w:fldCharType="separate"/>
        </w:r>
        <w:r w:rsidR="00B43131">
          <w:rPr>
            <w:noProof/>
            <w:webHidden/>
          </w:rPr>
          <w:t>31</w:t>
        </w:r>
        <w:r w:rsidR="00B43131">
          <w:rPr>
            <w:noProof/>
            <w:webHidden/>
          </w:rPr>
          <w:fldChar w:fldCharType="end"/>
        </w:r>
      </w:hyperlink>
    </w:p>
    <w:p w14:paraId="37DC0070" w14:textId="42985A59" w:rsidR="00B43131" w:rsidRDefault="002A53B9">
      <w:pPr>
        <w:pStyle w:val="TOC3"/>
        <w:rPr>
          <w:rFonts w:asciiTheme="minorHAnsi" w:eastAsiaTheme="minorEastAsia" w:hAnsiTheme="minorHAnsi" w:cstheme="minorBidi"/>
          <w:noProof/>
          <w:sz w:val="22"/>
          <w:szCs w:val="22"/>
          <w:lang w:val="en-GB" w:eastAsia="en-GB" w:bidi="ar-SA"/>
        </w:rPr>
      </w:pPr>
      <w:hyperlink w:anchor="_Toc30752009" w:history="1">
        <w:r w:rsidR="00B43131" w:rsidRPr="00CC4F72">
          <w:rPr>
            <w:rStyle w:val="Hyperlink"/>
            <w:noProof/>
          </w:rPr>
          <w:t>II.27.2 Dolžnost hrambe dokumentov</w:t>
        </w:r>
        <w:r w:rsidR="00B43131">
          <w:rPr>
            <w:noProof/>
            <w:webHidden/>
          </w:rPr>
          <w:tab/>
        </w:r>
        <w:r w:rsidR="00B43131">
          <w:rPr>
            <w:noProof/>
            <w:webHidden/>
          </w:rPr>
          <w:fldChar w:fldCharType="begin"/>
        </w:r>
        <w:r w:rsidR="00B43131">
          <w:rPr>
            <w:noProof/>
            <w:webHidden/>
          </w:rPr>
          <w:instrText xml:space="preserve"> PAGEREF _Toc30752009 \h </w:instrText>
        </w:r>
        <w:r w:rsidR="00B43131">
          <w:rPr>
            <w:noProof/>
            <w:webHidden/>
          </w:rPr>
        </w:r>
        <w:r w:rsidR="00B43131">
          <w:rPr>
            <w:noProof/>
            <w:webHidden/>
          </w:rPr>
          <w:fldChar w:fldCharType="separate"/>
        </w:r>
        <w:r w:rsidR="00B43131">
          <w:rPr>
            <w:noProof/>
            <w:webHidden/>
          </w:rPr>
          <w:t>31</w:t>
        </w:r>
        <w:r w:rsidR="00B43131">
          <w:rPr>
            <w:noProof/>
            <w:webHidden/>
          </w:rPr>
          <w:fldChar w:fldCharType="end"/>
        </w:r>
      </w:hyperlink>
    </w:p>
    <w:p w14:paraId="0E099F28" w14:textId="3EDAB099" w:rsidR="00B43131" w:rsidRDefault="002A53B9">
      <w:pPr>
        <w:pStyle w:val="TOC3"/>
        <w:rPr>
          <w:rFonts w:asciiTheme="minorHAnsi" w:eastAsiaTheme="minorEastAsia" w:hAnsiTheme="minorHAnsi" w:cstheme="minorBidi"/>
          <w:noProof/>
          <w:sz w:val="22"/>
          <w:szCs w:val="22"/>
          <w:lang w:val="en-GB" w:eastAsia="en-GB" w:bidi="ar-SA"/>
        </w:rPr>
      </w:pPr>
      <w:hyperlink w:anchor="_Toc30752010" w:history="1">
        <w:r w:rsidR="00B43131" w:rsidRPr="00CC4F72">
          <w:rPr>
            <w:rStyle w:val="Hyperlink"/>
            <w:noProof/>
          </w:rPr>
          <w:t>II.27.3 Obveznost zagotavljanja informacij</w:t>
        </w:r>
        <w:r w:rsidR="00B43131">
          <w:rPr>
            <w:noProof/>
            <w:webHidden/>
          </w:rPr>
          <w:tab/>
        </w:r>
        <w:r w:rsidR="00B43131">
          <w:rPr>
            <w:noProof/>
            <w:webHidden/>
          </w:rPr>
          <w:fldChar w:fldCharType="begin"/>
        </w:r>
        <w:r w:rsidR="00B43131">
          <w:rPr>
            <w:noProof/>
            <w:webHidden/>
          </w:rPr>
          <w:instrText xml:space="preserve"> PAGEREF _Toc30752010 \h </w:instrText>
        </w:r>
        <w:r w:rsidR="00B43131">
          <w:rPr>
            <w:noProof/>
            <w:webHidden/>
          </w:rPr>
        </w:r>
        <w:r w:rsidR="00B43131">
          <w:rPr>
            <w:noProof/>
            <w:webHidden/>
          </w:rPr>
          <w:fldChar w:fldCharType="separate"/>
        </w:r>
        <w:r w:rsidR="00B43131">
          <w:rPr>
            <w:noProof/>
            <w:webHidden/>
          </w:rPr>
          <w:t>32</w:t>
        </w:r>
        <w:r w:rsidR="00B43131">
          <w:rPr>
            <w:noProof/>
            <w:webHidden/>
          </w:rPr>
          <w:fldChar w:fldCharType="end"/>
        </w:r>
      </w:hyperlink>
    </w:p>
    <w:p w14:paraId="222B8C89" w14:textId="00B08A19" w:rsidR="00B43131" w:rsidRDefault="002A53B9">
      <w:pPr>
        <w:pStyle w:val="TOC3"/>
        <w:rPr>
          <w:rFonts w:asciiTheme="minorHAnsi" w:eastAsiaTheme="minorEastAsia" w:hAnsiTheme="minorHAnsi" w:cstheme="minorBidi"/>
          <w:noProof/>
          <w:sz w:val="22"/>
          <w:szCs w:val="22"/>
          <w:lang w:val="en-GB" w:eastAsia="en-GB" w:bidi="ar-SA"/>
        </w:rPr>
      </w:pPr>
      <w:hyperlink w:anchor="_Toc30752011" w:history="1">
        <w:r w:rsidR="00B43131" w:rsidRPr="00CC4F72">
          <w:rPr>
            <w:rStyle w:val="Hyperlink"/>
            <w:noProof/>
          </w:rPr>
          <w:t>II.27.4 Obiski na kraju samem</w:t>
        </w:r>
        <w:r w:rsidR="00B43131">
          <w:rPr>
            <w:noProof/>
            <w:webHidden/>
          </w:rPr>
          <w:tab/>
        </w:r>
        <w:r w:rsidR="00B43131">
          <w:rPr>
            <w:noProof/>
            <w:webHidden/>
          </w:rPr>
          <w:fldChar w:fldCharType="begin"/>
        </w:r>
        <w:r w:rsidR="00B43131">
          <w:rPr>
            <w:noProof/>
            <w:webHidden/>
          </w:rPr>
          <w:instrText xml:space="preserve"> PAGEREF _Toc30752011 \h </w:instrText>
        </w:r>
        <w:r w:rsidR="00B43131">
          <w:rPr>
            <w:noProof/>
            <w:webHidden/>
          </w:rPr>
        </w:r>
        <w:r w:rsidR="00B43131">
          <w:rPr>
            <w:noProof/>
            <w:webHidden/>
          </w:rPr>
          <w:fldChar w:fldCharType="separate"/>
        </w:r>
        <w:r w:rsidR="00B43131">
          <w:rPr>
            <w:noProof/>
            <w:webHidden/>
          </w:rPr>
          <w:t>32</w:t>
        </w:r>
        <w:r w:rsidR="00B43131">
          <w:rPr>
            <w:noProof/>
            <w:webHidden/>
          </w:rPr>
          <w:fldChar w:fldCharType="end"/>
        </w:r>
      </w:hyperlink>
    </w:p>
    <w:p w14:paraId="7BBB36C9" w14:textId="5815EA72" w:rsidR="00B43131" w:rsidRDefault="002A53B9">
      <w:pPr>
        <w:pStyle w:val="TOC3"/>
        <w:rPr>
          <w:rFonts w:asciiTheme="minorHAnsi" w:eastAsiaTheme="minorEastAsia" w:hAnsiTheme="minorHAnsi" w:cstheme="minorBidi"/>
          <w:noProof/>
          <w:sz w:val="22"/>
          <w:szCs w:val="22"/>
          <w:lang w:val="en-GB" w:eastAsia="en-GB" w:bidi="ar-SA"/>
        </w:rPr>
      </w:pPr>
      <w:hyperlink w:anchor="_Toc30752012" w:history="1">
        <w:r w:rsidR="00B43131" w:rsidRPr="00CC4F72">
          <w:rPr>
            <w:rStyle w:val="Hyperlink"/>
            <w:noProof/>
          </w:rPr>
          <w:t>II.27.5 Kontradiktorni revizijski postopek</w:t>
        </w:r>
        <w:r w:rsidR="00B43131">
          <w:rPr>
            <w:noProof/>
            <w:webHidden/>
          </w:rPr>
          <w:tab/>
        </w:r>
        <w:r w:rsidR="00B43131">
          <w:rPr>
            <w:noProof/>
            <w:webHidden/>
          </w:rPr>
          <w:fldChar w:fldCharType="begin"/>
        </w:r>
        <w:r w:rsidR="00B43131">
          <w:rPr>
            <w:noProof/>
            <w:webHidden/>
          </w:rPr>
          <w:instrText xml:space="preserve"> PAGEREF _Toc30752012 \h </w:instrText>
        </w:r>
        <w:r w:rsidR="00B43131">
          <w:rPr>
            <w:noProof/>
            <w:webHidden/>
          </w:rPr>
        </w:r>
        <w:r w:rsidR="00B43131">
          <w:rPr>
            <w:noProof/>
            <w:webHidden/>
          </w:rPr>
          <w:fldChar w:fldCharType="separate"/>
        </w:r>
        <w:r w:rsidR="00B43131">
          <w:rPr>
            <w:noProof/>
            <w:webHidden/>
          </w:rPr>
          <w:t>32</w:t>
        </w:r>
        <w:r w:rsidR="00B43131">
          <w:rPr>
            <w:noProof/>
            <w:webHidden/>
          </w:rPr>
          <w:fldChar w:fldCharType="end"/>
        </w:r>
      </w:hyperlink>
    </w:p>
    <w:p w14:paraId="5831C71C" w14:textId="4321999E" w:rsidR="00B43131" w:rsidRDefault="002A53B9">
      <w:pPr>
        <w:pStyle w:val="TOC3"/>
        <w:rPr>
          <w:rFonts w:asciiTheme="minorHAnsi" w:eastAsiaTheme="minorEastAsia" w:hAnsiTheme="minorHAnsi" w:cstheme="minorBidi"/>
          <w:noProof/>
          <w:sz w:val="22"/>
          <w:szCs w:val="22"/>
          <w:lang w:val="en-GB" w:eastAsia="en-GB" w:bidi="ar-SA"/>
        </w:rPr>
      </w:pPr>
      <w:hyperlink w:anchor="_Toc30752013" w:history="1">
        <w:r w:rsidR="00B43131" w:rsidRPr="00CC4F72">
          <w:rPr>
            <w:rStyle w:val="Hyperlink"/>
            <w:noProof/>
          </w:rPr>
          <w:t>II.27.6 Posledice ugotovitev revizije</w:t>
        </w:r>
        <w:r w:rsidR="00B43131">
          <w:rPr>
            <w:noProof/>
            <w:webHidden/>
          </w:rPr>
          <w:tab/>
        </w:r>
        <w:r w:rsidR="00B43131">
          <w:rPr>
            <w:noProof/>
            <w:webHidden/>
          </w:rPr>
          <w:fldChar w:fldCharType="begin"/>
        </w:r>
        <w:r w:rsidR="00B43131">
          <w:rPr>
            <w:noProof/>
            <w:webHidden/>
          </w:rPr>
          <w:instrText xml:space="preserve"> PAGEREF _Toc30752013 \h </w:instrText>
        </w:r>
        <w:r w:rsidR="00B43131">
          <w:rPr>
            <w:noProof/>
            <w:webHidden/>
          </w:rPr>
        </w:r>
        <w:r w:rsidR="00B43131">
          <w:rPr>
            <w:noProof/>
            <w:webHidden/>
          </w:rPr>
          <w:fldChar w:fldCharType="separate"/>
        </w:r>
        <w:r w:rsidR="00B43131">
          <w:rPr>
            <w:noProof/>
            <w:webHidden/>
          </w:rPr>
          <w:t>32</w:t>
        </w:r>
        <w:r w:rsidR="00B43131">
          <w:rPr>
            <w:noProof/>
            <w:webHidden/>
          </w:rPr>
          <w:fldChar w:fldCharType="end"/>
        </w:r>
      </w:hyperlink>
    </w:p>
    <w:p w14:paraId="08B07463" w14:textId="13B959AA" w:rsidR="00B43131" w:rsidRDefault="002A53B9">
      <w:pPr>
        <w:pStyle w:val="TOC3"/>
        <w:rPr>
          <w:rFonts w:asciiTheme="minorHAnsi" w:eastAsiaTheme="minorEastAsia" w:hAnsiTheme="minorHAnsi" w:cstheme="minorBidi"/>
          <w:noProof/>
          <w:sz w:val="22"/>
          <w:szCs w:val="22"/>
          <w:lang w:val="en-GB" w:eastAsia="en-GB" w:bidi="ar-SA"/>
        </w:rPr>
      </w:pPr>
      <w:hyperlink w:anchor="_Toc30752014" w:history="1">
        <w:r w:rsidR="00B43131" w:rsidRPr="00CC4F72">
          <w:rPr>
            <w:rStyle w:val="Hyperlink"/>
            <w:noProof/>
          </w:rPr>
          <w:t>II.27.7 Popravek sistemskih ali ponavljajočih se napak, nepravilnosti, goljufij ali kršitev obveznosti</w:t>
        </w:r>
        <w:r w:rsidR="00B43131">
          <w:rPr>
            <w:noProof/>
            <w:webHidden/>
          </w:rPr>
          <w:tab/>
        </w:r>
        <w:r w:rsidR="00B43131">
          <w:rPr>
            <w:noProof/>
            <w:webHidden/>
          </w:rPr>
          <w:fldChar w:fldCharType="begin"/>
        </w:r>
        <w:r w:rsidR="00B43131">
          <w:rPr>
            <w:noProof/>
            <w:webHidden/>
          </w:rPr>
          <w:instrText xml:space="preserve"> PAGEREF _Toc30752014 \h </w:instrText>
        </w:r>
        <w:r w:rsidR="00B43131">
          <w:rPr>
            <w:noProof/>
            <w:webHidden/>
          </w:rPr>
        </w:r>
        <w:r w:rsidR="00B43131">
          <w:rPr>
            <w:noProof/>
            <w:webHidden/>
          </w:rPr>
          <w:fldChar w:fldCharType="separate"/>
        </w:r>
        <w:r w:rsidR="00B43131">
          <w:rPr>
            <w:noProof/>
            <w:webHidden/>
          </w:rPr>
          <w:t>33</w:t>
        </w:r>
        <w:r w:rsidR="00B43131">
          <w:rPr>
            <w:noProof/>
            <w:webHidden/>
          </w:rPr>
          <w:fldChar w:fldCharType="end"/>
        </w:r>
      </w:hyperlink>
    </w:p>
    <w:p w14:paraId="746DAD10" w14:textId="7767746B" w:rsidR="00B43131" w:rsidRDefault="002A53B9">
      <w:pPr>
        <w:pStyle w:val="TOC3"/>
        <w:rPr>
          <w:rFonts w:asciiTheme="minorHAnsi" w:eastAsiaTheme="minorEastAsia" w:hAnsiTheme="minorHAnsi" w:cstheme="minorBidi"/>
          <w:noProof/>
          <w:sz w:val="22"/>
          <w:szCs w:val="22"/>
          <w:lang w:val="en-GB" w:eastAsia="en-GB" w:bidi="ar-SA"/>
        </w:rPr>
      </w:pPr>
      <w:hyperlink w:anchor="_Toc30752015" w:history="1">
        <w:r w:rsidR="00B43131" w:rsidRPr="00CC4F72">
          <w:rPr>
            <w:rStyle w:val="Hyperlink"/>
            <w:noProof/>
          </w:rPr>
          <w:t>II.27.8 Pravice urada OLAF</w:t>
        </w:r>
        <w:r w:rsidR="00B43131">
          <w:rPr>
            <w:noProof/>
            <w:webHidden/>
          </w:rPr>
          <w:tab/>
        </w:r>
        <w:r w:rsidR="00B43131">
          <w:rPr>
            <w:noProof/>
            <w:webHidden/>
          </w:rPr>
          <w:fldChar w:fldCharType="begin"/>
        </w:r>
        <w:r w:rsidR="00B43131">
          <w:rPr>
            <w:noProof/>
            <w:webHidden/>
          </w:rPr>
          <w:instrText xml:space="preserve"> PAGEREF _Toc30752015 \h </w:instrText>
        </w:r>
        <w:r w:rsidR="00B43131">
          <w:rPr>
            <w:noProof/>
            <w:webHidden/>
          </w:rPr>
        </w:r>
        <w:r w:rsidR="00B43131">
          <w:rPr>
            <w:noProof/>
            <w:webHidden/>
          </w:rPr>
          <w:fldChar w:fldCharType="separate"/>
        </w:r>
        <w:r w:rsidR="00B43131">
          <w:rPr>
            <w:noProof/>
            <w:webHidden/>
          </w:rPr>
          <w:t>35</w:t>
        </w:r>
        <w:r w:rsidR="00B43131">
          <w:rPr>
            <w:noProof/>
            <w:webHidden/>
          </w:rPr>
          <w:fldChar w:fldCharType="end"/>
        </w:r>
      </w:hyperlink>
    </w:p>
    <w:p w14:paraId="2E953A5F" w14:textId="7B6FE4A9" w:rsidR="00B43131" w:rsidRDefault="002A53B9">
      <w:pPr>
        <w:pStyle w:val="TOC3"/>
        <w:tabs>
          <w:tab w:val="left" w:pos="2880"/>
        </w:tabs>
        <w:rPr>
          <w:rFonts w:asciiTheme="minorHAnsi" w:eastAsiaTheme="minorEastAsia" w:hAnsiTheme="minorHAnsi" w:cstheme="minorBidi"/>
          <w:noProof/>
          <w:sz w:val="22"/>
          <w:szCs w:val="22"/>
          <w:lang w:val="en-GB" w:eastAsia="en-GB" w:bidi="ar-SA"/>
        </w:rPr>
      </w:pPr>
      <w:hyperlink w:anchor="_Toc30752016" w:history="1">
        <w:r w:rsidR="00B43131" w:rsidRPr="00CC4F72">
          <w:rPr>
            <w:rStyle w:val="Hyperlink"/>
            <w:noProof/>
          </w:rPr>
          <w:t>II.27.9</w:t>
        </w:r>
        <w:r w:rsidR="00B43131">
          <w:rPr>
            <w:rFonts w:asciiTheme="minorHAnsi" w:eastAsiaTheme="minorEastAsia" w:hAnsiTheme="minorHAnsi" w:cstheme="minorBidi"/>
            <w:noProof/>
            <w:sz w:val="22"/>
            <w:szCs w:val="22"/>
            <w:lang w:val="en-GB" w:eastAsia="en-GB" w:bidi="ar-SA"/>
          </w:rPr>
          <w:tab/>
        </w:r>
        <w:r w:rsidR="00B43131" w:rsidRPr="00CC4F72">
          <w:rPr>
            <w:rStyle w:val="Hyperlink"/>
            <w:noProof/>
          </w:rPr>
          <w:t>Pravice Evropskega računskega sodišča in EJT</w:t>
        </w:r>
        <w:r w:rsidR="00B43131">
          <w:rPr>
            <w:noProof/>
            <w:webHidden/>
          </w:rPr>
          <w:tab/>
        </w:r>
        <w:r w:rsidR="00B43131">
          <w:rPr>
            <w:noProof/>
            <w:webHidden/>
          </w:rPr>
          <w:fldChar w:fldCharType="begin"/>
        </w:r>
        <w:r w:rsidR="00B43131">
          <w:rPr>
            <w:noProof/>
            <w:webHidden/>
          </w:rPr>
          <w:instrText xml:space="preserve"> PAGEREF _Toc30752016 \h </w:instrText>
        </w:r>
        <w:r w:rsidR="00B43131">
          <w:rPr>
            <w:noProof/>
            <w:webHidden/>
          </w:rPr>
        </w:r>
        <w:r w:rsidR="00B43131">
          <w:rPr>
            <w:noProof/>
            <w:webHidden/>
          </w:rPr>
          <w:fldChar w:fldCharType="separate"/>
        </w:r>
        <w:r w:rsidR="00B43131">
          <w:rPr>
            <w:noProof/>
            <w:webHidden/>
          </w:rPr>
          <w:t>35</w:t>
        </w:r>
        <w:r w:rsidR="00B43131">
          <w:rPr>
            <w:noProof/>
            <w:webHidden/>
          </w:rPr>
          <w:fldChar w:fldCharType="end"/>
        </w:r>
      </w:hyperlink>
    </w:p>
    <w:p w14:paraId="3B73A7AC" w14:textId="70858889" w:rsidR="00F10393" w:rsidRDefault="001721CC">
      <w:pPr>
        <w:pStyle w:val="TOC1"/>
        <w:rPr>
          <w:rFonts w:asciiTheme="minorHAnsi" w:eastAsiaTheme="minorEastAsia" w:hAnsiTheme="minorHAnsi" w:cstheme="minorBidi"/>
          <w:b w:val="0"/>
          <w:caps w:val="0"/>
          <w:noProof/>
          <w:sz w:val="22"/>
          <w:szCs w:val="22"/>
        </w:rPr>
      </w:pPr>
      <w:r>
        <w:rPr>
          <w:bCs/>
          <w:caps w:val="0"/>
          <w:noProof/>
          <w:szCs w:val="24"/>
        </w:rPr>
        <w:fldChar w:fldCharType="end"/>
      </w:r>
    </w:p>
    <w:p w14:paraId="3BBB89CE" w14:textId="77777777" w:rsidR="007025BB" w:rsidRPr="00D06D68" w:rsidRDefault="007025BB" w:rsidP="00797757">
      <w:pPr>
        <w:spacing w:before="100" w:beforeAutospacing="1" w:after="100" w:afterAutospacing="1" w:line="240" w:lineRule="auto"/>
        <w:jc w:val="both"/>
        <w:rPr>
          <w:b/>
          <w:szCs w:val="24"/>
        </w:rPr>
      </w:pPr>
    </w:p>
    <w:p w14:paraId="3BBB89CF" w14:textId="592CB1C0" w:rsidR="00695020" w:rsidRDefault="0008316D" w:rsidP="00695020">
      <w:pPr>
        <w:pStyle w:val="Heading2"/>
        <w:spacing w:before="100" w:beforeAutospacing="1" w:after="100" w:afterAutospacing="1"/>
        <w:rPr>
          <w:rFonts w:ascii="Times New Roman" w:hAnsi="Times New Roman"/>
        </w:rPr>
      </w:pPr>
      <w:r>
        <w:br w:type="column"/>
      </w:r>
      <w:bookmarkStart w:id="1" w:name="_Toc441250814"/>
      <w:bookmarkStart w:id="2" w:name="_Toc441509662"/>
      <w:bookmarkStart w:id="3" w:name="_Toc1637159"/>
      <w:bookmarkStart w:id="4" w:name="_Toc441250816"/>
      <w:r w:rsidR="00695020">
        <w:rPr>
          <w:rFonts w:ascii="Times New Roman" w:hAnsi="Times New Roman"/>
        </w:rPr>
        <w:t xml:space="preserve"> </w:t>
      </w:r>
    </w:p>
    <w:p w14:paraId="3BBB8B5A" w14:textId="31A8E556" w:rsidR="0022534F" w:rsidRPr="001C2768" w:rsidRDefault="000F57EC" w:rsidP="003E44F9">
      <w:pPr>
        <w:pStyle w:val="Heading1"/>
        <w:spacing w:before="100" w:beforeAutospacing="1" w:after="100" w:afterAutospacing="1"/>
        <w:rPr>
          <w:rFonts w:ascii="Times New Roman" w:hAnsi="Times New Roman"/>
        </w:rPr>
      </w:pPr>
      <w:bookmarkStart w:id="5" w:name="_Toc30751946"/>
      <w:r>
        <w:rPr>
          <w:rFonts w:ascii="Times New Roman" w:hAnsi="Times New Roman"/>
        </w:rPr>
        <w:t>PRILOGA I</w:t>
      </w:r>
      <w:bookmarkEnd w:id="1"/>
      <w:r>
        <w:rPr>
          <w:rFonts w:ascii="Times New Roman" w:hAnsi="Times New Roman"/>
        </w:rPr>
        <w:t xml:space="preserve"> – </w:t>
      </w:r>
      <w:bookmarkStart w:id="6" w:name="_Toc441250815"/>
      <w:r>
        <w:rPr>
          <w:rFonts w:ascii="Times New Roman" w:hAnsi="Times New Roman"/>
        </w:rPr>
        <w:t>SPLOŠNI POGOJI</w:t>
      </w:r>
      <w:bookmarkEnd w:id="2"/>
      <w:bookmarkEnd w:id="6"/>
      <w:bookmarkEnd w:id="3"/>
      <w:bookmarkEnd w:id="5"/>
    </w:p>
    <w:p w14:paraId="3BBB8B5B" w14:textId="490B013B" w:rsidR="00D30E81" w:rsidRPr="00D06D68" w:rsidRDefault="00D30E81" w:rsidP="00797757">
      <w:pPr>
        <w:pStyle w:val="Heading1"/>
        <w:spacing w:before="100" w:beforeAutospacing="1" w:after="100" w:afterAutospacing="1"/>
        <w:jc w:val="both"/>
        <w:rPr>
          <w:rFonts w:ascii="Times New Roman" w:hAnsi="Times New Roman"/>
        </w:rPr>
      </w:pPr>
      <w:bookmarkStart w:id="7" w:name="_Toc1637160"/>
      <w:bookmarkStart w:id="8" w:name="_Toc30751947"/>
      <w:r>
        <w:rPr>
          <w:rFonts w:ascii="Times New Roman" w:hAnsi="Times New Roman"/>
        </w:rPr>
        <w:t>DEL A – PRAVNE IN UPRAVNE DOLOČBE</w:t>
      </w:r>
      <w:bookmarkEnd w:id="4"/>
      <w:bookmarkEnd w:id="7"/>
      <w:bookmarkEnd w:id="8"/>
    </w:p>
    <w:p w14:paraId="3BBB8B5C" w14:textId="4366AAB4" w:rsidR="00D30E81" w:rsidRPr="00FE5E74" w:rsidRDefault="0063257E" w:rsidP="001C2768">
      <w:pPr>
        <w:pStyle w:val="Heading2"/>
      </w:pPr>
      <w:bookmarkStart w:id="9" w:name="_Toc441250817"/>
      <w:bookmarkStart w:id="10" w:name="_Toc1637161"/>
      <w:bookmarkStart w:id="11" w:name="_Toc30751948"/>
      <w:r>
        <w:t>ČLEN II.1 – OPREDELITVE POJMOV</w:t>
      </w:r>
      <w:bookmarkEnd w:id="9"/>
      <w:bookmarkEnd w:id="10"/>
      <w:bookmarkEnd w:id="11"/>
    </w:p>
    <w:p w14:paraId="3BBB8B5D" w14:textId="77777777" w:rsidR="00D30E81" w:rsidRPr="00D92B6C" w:rsidRDefault="00D30E81" w:rsidP="001C2768">
      <w:pPr>
        <w:spacing w:before="100" w:beforeAutospacing="1" w:after="100" w:afterAutospacing="1" w:line="240" w:lineRule="auto"/>
        <w:jc w:val="both"/>
        <w:rPr>
          <w:szCs w:val="24"/>
        </w:rPr>
      </w:pPr>
      <w:r>
        <w:t>Za namene sporazuma se uporabljajo naslednje opredelitve pojmov:</w:t>
      </w:r>
    </w:p>
    <w:p w14:paraId="3BBB8B5E" w14:textId="77777777" w:rsidR="00D30E81" w:rsidRDefault="00D30E81" w:rsidP="00797757">
      <w:pPr>
        <w:spacing w:before="100" w:beforeAutospacing="1" w:after="100" w:afterAutospacing="1" w:line="240" w:lineRule="auto"/>
        <w:jc w:val="both"/>
        <w:rPr>
          <w:szCs w:val="24"/>
        </w:rPr>
      </w:pPr>
      <w:r>
        <w:rPr>
          <w:b/>
        </w:rPr>
        <w:t>„ukrep“</w:t>
      </w:r>
      <w:r>
        <w:t>:</w:t>
      </w:r>
      <w:r>
        <w:rPr>
          <w:b/>
        </w:rPr>
        <w:t xml:space="preserve"> [</w:t>
      </w:r>
      <w:r>
        <w:rPr>
          <w:b/>
          <w:i/>
          <w:color w:val="0070C0"/>
        </w:rPr>
        <w:t>Možnost 1 –</w:t>
      </w:r>
      <w:r>
        <w:rPr>
          <w:b/>
          <w:color w:val="0070C0"/>
        </w:rPr>
        <w:t xml:space="preserve"> </w:t>
      </w:r>
      <w:r>
        <w:rPr>
          <w:b/>
          <w:i/>
          <w:color w:val="0070C0"/>
        </w:rPr>
        <w:t>nepovratna sredstva za ukrep:</w:t>
      </w:r>
      <w:r>
        <w:t xml:space="preserve"> sklop</w:t>
      </w:r>
      <w:r>
        <w:rPr>
          <w:b/>
        </w:rPr>
        <w:t xml:space="preserve"> </w:t>
      </w:r>
      <w:r>
        <w:t>dejavnosti ali projekt] [</w:t>
      </w:r>
      <w:r>
        <w:rPr>
          <w:b/>
          <w:i/>
          <w:color w:val="0070C0"/>
        </w:rPr>
        <w:t>Možnost 2 – nepovratna sredstva za poslovanje:</w:t>
      </w:r>
      <w:r>
        <w:rPr>
          <w:b/>
          <w:i/>
        </w:rPr>
        <w:t xml:space="preserve"> </w:t>
      </w:r>
      <w:r>
        <w:t>program dela], za katerega se dodelijo nepovratna sredstva, ki ga bo izvedel upravičenec, kot je opisan v Prilogi I;</w:t>
      </w:r>
    </w:p>
    <w:p w14:paraId="09429DB6" w14:textId="79DB9E0A" w:rsidR="00EF1984" w:rsidRPr="001C2768" w:rsidRDefault="00EF1984" w:rsidP="00797757">
      <w:pPr>
        <w:spacing w:before="100" w:beforeAutospacing="1" w:after="100" w:afterAutospacing="1" w:line="240" w:lineRule="auto"/>
        <w:jc w:val="both"/>
        <w:rPr>
          <w:sz w:val="28"/>
          <w:szCs w:val="24"/>
        </w:rPr>
      </w:pPr>
      <w:r>
        <w:rPr>
          <w:b/>
        </w:rPr>
        <w:t xml:space="preserve">„kršitev obveznosti“: </w:t>
      </w:r>
      <w:r>
        <w:t>upravičenec ne izpolni ene ali več svojih pogodbenih obveznosti;</w:t>
      </w:r>
    </w:p>
    <w:p w14:paraId="3BBB8B5F" w14:textId="794ACC22" w:rsidR="00D30E81" w:rsidRPr="004264AF" w:rsidRDefault="00D30E81" w:rsidP="00797757">
      <w:pPr>
        <w:spacing w:before="100" w:beforeAutospacing="1" w:after="100" w:afterAutospacing="1" w:line="240" w:lineRule="auto"/>
        <w:jc w:val="both"/>
        <w:rPr>
          <w:szCs w:val="24"/>
        </w:rPr>
      </w:pPr>
      <w:r>
        <w:rPr>
          <w:b/>
        </w:rPr>
        <w:t>„zaupne informacije ali dokument“</w:t>
      </w:r>
      <w:r>
        <w:t>: vsaka informacija ali dokument (v kateri koli obliki), ki ga ena od strank prejme od druge stranke ali do katerega dostopa v okviru izvajanja sporazuma in ki ga je pisno opredelila kot zaupnega. Ne vključuje javno dostopnih informacij;</w:t>
      </w:r>
    </w:p>
    <w:p w14:paraId="3BBB8B60" w14:textId="7EF1E615" w:rsidR="00D30E81" w:rsidRPr="004264AF" w:rsidRDefault="00D30E81" w:rsidP="00797757">
      <w:pPr>
        <w:spacing w:before="100" w:beforeAutospacing="1" w:after="100" w:afterAutospacing="1" w:line="240" w:lineRule="auto"/>
        <w:jc w:val="both"/>
        <w:rPr>
          <w:b/>
          <w:szCs w:val="24"/>
        </w:rPr>
      </w:pPr>
      <w:r>
        <w:rPr>
          <w:b/>
        </w:rPr>
        <w:t>„navzkrižje interesov“</w:t>
      </w:r>
      <w:r>
        <w:t>:</w:t>
      </w:r>
      <w:r>
        <w:rPr>
          <w:b/>
        </w:rPr>
        <w:t xml:space="preserve"> </w:t>
      </w:r>
      <w:r>
        <w:t>položaj, kadar je pri upravičencu ogroženo nepristransko in objektivno izvajanje sporazuma iz družinskih, čustvenih, političnih ali narodnostnih razlogov, zaradi gospodarskega interesa ali drugega neposrednega ali posrednega osebnega interesa ali skupnega interesa s Komisijo ali katero koli tretjo osebo, ki je povezana s predmetom sporazuma;</w:t>
      </w:r>
    </w:p>
    <w:p w14:paraId="3BBB8B61" w14:textId="77777777" w:rsidR="00D30E81" w:rsidRPr="004264AF" w:rsidRDefault="00D30E81" w:rsidP="00797757">
      <w:pPr>
        <w:spacing w:before="100" w:beforeAutospacing="1" w:after="100" w:afterAutospacing="1" w:line="240" w:lineRule="auto"/>
        <w:jc w:val="both"/>
        <w:rPr>
          <w:szCs w:val="24"/>
        </w:rPr>
      </w:pPr>
      <w:r>
        <w:rPr>
          <w:b/>
        </w:rPr>
        <w:t>„neposredni stroški“</w:t>
      </w:r>
      <w:r>
        <w:t xml:space="preserve">: tisti posebni stroški, ki so neposredno povezani z izvajanjem ukrepa in jih je zato mogoče neposredno pripisati </w:t>
      </w:r>
      <w:r>
        <w:rPr>
          <w:i/>
        </w:rPr>
        <w:t>ukrepu</w:t>
      </w:r>
      <w:r>
        <w:t xml:space="preserve">. Ti stroški ne smejo vključevati nobenih </w:t>
      </w:r>
      <w:r>
        <w:rPr>
          <w:i/>
        </w:rPr>
        <w:t>posrednih stroškov</w:t>
      </w:r>
      <w:r>
        <w:t>;</w:t>
      </w:r>
    </w:p>
    <w:p w14:paraId="3BBB8B64" w14:textId="67A0DCE7" w:rsidR="00D30E81" w:rsidRPr="004264AF" w:rsidRDefault="00D30E81" w:rsidP="00797757">
      <w:pPr>
        <w:spacing w:before="100" w:beforeAutospacing="1" w:after="100" w:afterAutospacing="1" w:line="240" w:lineRule="auto"/>
        <w:jc w:val="both"/>
        <w:rPr>
          <w:szCs w:val="24"/>
        </w:rPr>
      </w:pPr>
      <w:r>
        <w:rPr>
          <w:b/>
        </w:rPr>
        <w:t>„višja sila“</w:t>
      </w:r>
      <w:r>
        <w:t xml:space="preserve">: katera koli nepredvidljiva in izjemna okoliščina ali dogodek, na katerega stranki ne moreta vplivati, ki posamezni stranki preprečuje izpolnitev katere koli obveznosti iz sporazuma, ki ga ni mogoče pripisati napaki ali malomarnosti z njune strani ali s strani podizvajalcev, povezanih subjektov ali tretjih oseb, ki prejmejo finančno pomoč, in za katerega se izkaže, da ga kljub ravnanju s potrebno skrbnostjo ni bilo mogoče preprečiti. Kot </w:t>
      </w:r>
      <w:r>
        <w:rPr>
          <w:i/>
        </w:rPr>
        <w:t>višje sile</w:t>
      </w:r>
      <w:r>
        <w:t xml:space="preserve"> ni mogoče uveljavljati: delovnih sporov, stavk, finančnih težav ali motenj v prejetih storitvah, napak na opremi ali materialu ali zamud pri njunem zagotavljanju, razen če so neposredna posledica zadevnega primera </w:t>
      </w:r>
      <w:r>
        <w:rPr>
          <w:i/>
        </w:rPr>
        <w:t>višje sile</w:t>
      </w:r>
      <w:r>
        <w:t>;</w:t>
      </w:r>
    </w:p>
    <w:p w14:paraId="3BBB8B66" w14:textId="00CAAA1D" w:rsidR="00225090" w:rsidRPr="004264AF" w:rsidRDefault="00D30E81" w:rsidP="00797757">
      <w:pPr>
        <w:pStyle w:val="ListParagraph"/>
        <w:spacing w:before="100" w:beforeAutospacing="1" w:after="100" w:afterAutospacing="1" w:line="240" w:lineRule="auto"/>
        <w:ind w:left="0"/>
        <w:contextualSpacing w:val="0"/>
        <w:jc w:val="both"/>
        <w:rPr>
          <w:szCs w:val="24"/>
        </w:rPr>
      </w:pPr>
      <w:r>
        <w:rPr>
          <w:b/>
        </w:rPr>
        <w:t>„uradno obvestilo“</w:t>
      </w:r>
      <w:r>
        <w:t>: oblika pisne komunikacije med strankama po navadni ali elektronski pošti, ki pošiljatelju zagotavlja trden dokaz, da je bilo sporočilo dostavljeno zadevnemu prejemniku;</w:t>
      </w:r>
    </w:p>
    <w:p w14:paraId="3BBB8B67" w14:textId="63181B65" w:rsidR="00D30E81" w:rsidRDefault="00D30E81" w:rsidP="00797757">
      <w:pPr>
        <w:spacing w:before="100" w:beforeAutospacing="1" w:after="100" w:afterAutospacing="1" w:line="240" w:lineRule="auto"/>
        <w:jc w:val="both"/>
        <w:rPr>
          <w:szCs w:val="24"/>
        </w:rPr>
      </w:pPr>
      <w:r>
        <w:rPr>
          <w:b/>
        </w:rPr>
        <w:t>„goljufija“</w:t>
      </w:r>
      <w:r>
        <w:t>: vsako dejanje ali opustitev dejanja v zvezi z uporabo ali predložitvijo lažnih, nepravilnih ali nepopolnih izjav ali dokumentov, kar ima za posledico poneverbo ali nezakonito zadrževanje sredstev iz proračuna Unije, nerazkritje informacij ob kršitvi specifične obveznosti, z enakim učinkom ali uporabo takšnih sredstev za namene, ki so drugačni od namenov, za katere so bila sredstva prvotno odobrena;</w:t>
      </w:r>
    </w:p>
    <w:p w14:paraId="1D964A3C" w14:textId="2EDFCDDB" w:rsidR="00EF1984" w:rsidRPr="00D92B6C" w:rsidRDefault="00EF1984" w:rsidP="001C2768">
      <w:pPr>
        <w:spacing w:after="40" w:line="240" w:lineRule="auto"/>
        <w:jc w:val="both"/>
      </w:pPr>
      <w:r>
        <w:rPr>
          <w:b/>
        </w:rPr>
        <w:t xml:space="preserve">„huda kršitev poklicnih pravil“: </w:t>
      </w:r>
      <w:r>
        <w:t>kršitev veljavnih zakonov ali drugih predpisov ali etičnih standardov stroke, ki ji pripada oseba ali povezani subjekt, ali zloraba ali kakršno koli krivdno ravnanje osebe ali subjekta, pri čemer to ravnanje, če kaže na naklep ali hudo malomarnost, vpliva na njegovo strokovno verodostojnost;</w:t>
      </w:r>
    </w:p>
    <w:p w14:paraId="3BBB8B68" w14:textId="77777777" w:rsidR="00D30E81" w:rsidRPr="004264AF" w:rsidRDefault="00D30E81" w:rsidP="00797757">
      <w:pPr>
        <w:spacing w:before="100" w:beforeAutospacing="1" w:after="100" w:afterAutospacing="1" w:line="240" w:lineRule="auto"/>
        <w:jc w:val="both"/>
        <w:rPr>
          <w:b/>
          <w:szCs w:val="24"/>
        </w:rPr>
      </w:pPr>
      <w:r>
        <w:rPr>
          <w:b/>
        </w:rPr>
        <w:t>„obdobje izvajanja“</w:t>
      </w:r>
      <w:r>
        <w:t xml:space="preserve">: obdobje izvajanja dejavnosti, ki so del </w:t>
      </w:r>
      <w:r>
        <w:rPr>
          <w:i/>
        </w:rPr>
        <w:t>ukrepa</w:t>
      </w:r>
      <w:r>
        <w:t>, kot je določeno v členu I.2.2;</w:t>
      </w:r>
    </w:p>
    <w:p w14:paraId="3BBB8B69" w14:textId="77777777" w:rsidR="00D30E81" w:rsidRPr="004264AF" w:rsidRDefault="00D30E81" w:rsidP="00797757">
      <w:pPr>
        <w:spacing w:before="100" w:beforeAutospacing="1" w:after="100" w:afterAutospacing="1" w:line="240" w:lineRule="auto"/>
        <w:jc w:val="both"/>
        <w:rPr>
          <w:szCs w:val="24"/>
        </w:rPr>
      </w:pPr>
      <w:r>
        <w:rPr>
          <w:b/>
        </w:rPr>
        <w:t>„posredni stroški“</w:t>
      </w:r>
      <w:r>
        <w:t xml:space="preserve">: tisti stroški, ki niso posebni stroški, neposredno povezani z izvajanjem </w:t>
      </w:r>
      <w:r>
        <w:rPr>
          <w:i/>
        </w:rPr>
        <w:t>ukrepa</w:t>
      </w:r>
      <w:r>
        <w:t xml:space="preserve">, in jih zato ni mogoče neposredno pripisati ukrepu. Ti stroški ne smejo vključevati nobenih stroškov, ki jih je mogoče opredeliti ali prijaviti kot upravičene </w:t>
      </w:r>
      <w:r>
        <w:rPr>
          <w:i/>
        </w:rPr>
        <w:t>neposredne stroške</w:t>
      </w:r>
      <w:r>
        <w:t>;</w:t>
      </w:r>
    </w:p>
    <w:p w14:paraId="3BBB8B6A" w14:textId="77777777" w:rsidR="00D30E81" w:rsidRPr="004264AF" w:rsidRDefault="00D30E81" w:rsidP="00797757">
      <w:pPr>
        <w:spacing w:before="100" w:beforeAutospacing="1" w:after="100" w:afterAutospacing="1" w:line="240" w:lineRule="auto"/>
        <w:jc w:val="both"/>
        <w:rPr>
          <w:b/>
          <w:szCs w:val="24"/>
        </w:rPr>
      </w:pPr>
      <w:r>
        <w:rPr>
          <w:b/>
        </w:rPr>
        <w:t>„nepravilnost“</w:t>
      </w:r>
      <w:r>
        <w:t>: vsaka kršitev določbe prava Unije, ki je posledica dejanja ali opustitve dejanja s strani upravičenca, ki škoduje ali bi škodovalo proračunu Unije;</w:t>
      </w:r>
    </w:p>
    <w:p w14:paraId="3BBB8B6B" w14:textId="77777777" w:rsidR="00D30E81" w:rsidRPr="004264AF" w:rsidRDefault="00D30E81" w:rsidP="00797757">
      <w:pPr>
        <w:spacing w:before="100" w:beforeAutospacing="1" w:after="100" w:afterAutospacing="1" w:line="240" w:lineRule="auto"/>
        <w:jc w:val="both"/>
        <w:rPr>
          <w:szCs w:val="24"/>
        </w:rPr>
      </w:pPr>
      <w:r>
        <w:rPr>
          <w:b/>
        </w:rPr>
        <w:t>„najvišji znesek nepovratnih sredstev“</w:t>
      </w:r>
      <w:r>
        <w:t xml:space="preserve">: najvišji prispevek EU k </w:t>
      </w:r>
      <w:r>
        <w:rPr>
          <w:i/>
        </w:rPr>
        <w:t>ukrepu</w:t>
      </w:r>
      <w:r>
        <w:t>, kot je opredeljeno v členu I.3.1;</w:t>
      </w:r>
    </w:p>
    <w:p w14:paraId="3BBB8B6C" w14:textId="77777777" w:rsidR="00D30E81" w:rsidRPr="004264AF" w:rsidRDefault="00D30E81" w:rsidP="00797757">
      <w:pPr>
        <w:spacing w:before="100" w:beforeAutospacing="1" w:after="100" w:afterAutospacing="1" w:line="240" w:lineRule="auto"/>
        <w:jc w:val="both"/>
        <w:rPr>
          <w:szCs w:val="24"/>
        </w:rPr>
      </w:pPr>
      <w:r>
        <w:rPr>
          <w:b/>
        </w:rPr>
        <w:t>„predhodno obstoječi material“</w:t>
      </w:r>
      <w:r>
        <w:t xml:space="preserve">: vsak material, dokument, tehnologija ali strokovno znanje in izkušnje, ki so obstajali, preden jih je upravičenec uporabil za izdelavo rezultata pri izvajanju </w:t>
      </w:r>
      <w:r>
        <w:rPr>
          <w:i/>
        </w:rPr>
        <w:t>ukrepa</w:t>
      </w:r>
      <w:r>
        <w:t>;</w:t>
      </w:r>
    </w:p>
    <w:p w14:paraId="3BBB8B6D" w14:textId="77777777" w:rsidR="00D30E81" w:rsidRPr="004264AF" w:rsidRDefault="00D30E81" w:rsidP="00797757">
      <w:pPr>
        <w:spacing w:before="100" w:beforeAutospacing="1" w:after="100" w:afterAutospacing="1" w:line="240" w:lineRule="auto"/>
        <w:jc w:val="both"/>
        <w:rPr>
          <w:b/>
          <w:szCs w:val="24"/>
        </w:rPr>
      </w:pPr>
      <w:r>
        <w:rPr>
          <w:b/>
        </w:rPr>
        <w:t>„predhodno obstoječa pravica“</w:t>
      </w:r>
      <w:r>
        <w:t xml:space="preserve">: vsaka pravica industrijske in intelektualne lastnine glede </w:t>
      </w:r>
      <w:r>
        <w:rPr>
          <w:i/>
        </w:rPr>
        <w:t>predhodno obstoječega materiala</w:t>
      </w:r>
      <w:r>
        <w:t>; lahko je v obliki pravice lastništva, licenčne pravice in/ali pravice uporabe, ki pripada upravičencu ali kateri koli drugi tretji osebi;</w:t>
      </w:r>
    </w:p>
    <w:p w14:paraId="3BBB8B6E" w14:textId="39CD9544" w:rsidR="00D30E81" w:rsidRPr="004264AF" w:rsidRDefault="00D30E81" w:rsidP="00797757">
      <w:pPr>
        <w:spacing w:before="100" w:beforeAutospacing="1" w:after="100" w:afterAutospacing="1" w:line="240" w:lineRule="auto"/>
        <w:jc w:val="both"/>
        <w:rPr>
          <w:color w:val="000000"/>
          <w:szCs w:val="24"/>
        </w:rPr>
      </w:pPr>
      <w:r>
        <w:rPr>
          <w:b/>
          <w:color w:val="000000"/>
        </w:rPr>
        <w:t>„povezana oseba“</w:t>
      </w:r>
      <w:r>
        <w:t>:</w:t>
      </w:r>
      <w:r>
        <w:rPr>
          <w:color w:val="000000"/>
        </w:rPr>
        <w:t xml:space="preserve"> vsaka fizična ali pravna oseba, ki je član upravnega, vodstvenega ali nadzornega organa upravičenca ali ima pooblastila za zastopanje, odločanje ali nadzor v zvezi z upravičencem;  </w:t>
      </w:r>
    </w:p>
    <w:p w14:paraId="3BBB8B6F" w14:textId="77777777" w:rsidR="00D30E81" w:rsidRPr="004264AF" w:rsidRDefault="00D30E81" w:rsidP="00797757">
      <w:pPr>
        <w:spacing w:before="100" w:beforeAutospacing="1" w:after="100" w:afterAutospacing="1" w:line="240" w:lineRule="auto"/>
        <w:jc w:val="both"/>
        <w:rPr>
          <w:b/>
          <w:szCs w:val="24"/>
        </w:rPr>
      </w:pPr>
      <w:r>
        <w:rPr>
          <w:b/>
        </w:rPr>
        <w:t>„datum začetka“</w:t>
      </w:r>
      <w:r>
        <w:t xml:space="preserve">: datum, na katerega se </w:t>
      </w:r>
      <w:r>
        <w:rPr>
          <w:i/>
        </w:rPr>
        <w:t>ukrep</w:t>
      </w:r>
      <w:r>
        <w:t xml:space="preserve"> začne izvajati, kot je določeno v členu I.2.2;</w:t>
      </w:r>
    </w:p>
    <w:p w14:paraId="3BBB8B70" w14:textId="51595099" w:rsidR="00D30E81" w:rsidRDefault="00D30E81" w:rsidP="001C2768">
      <w:pPr>
        <w:spacing w:before="100" w:beforeAutospacing="1" w:after="0" w:line="240" w:lineRule="auto"/>
        <w:jc w:val="both"/>
        <w:rPr>
          <w:szCs w:val="24"/>
        </w:rPr>
      </w:pPr>
      <w:r>
        <w:rPr>
          <w:b/>
        </w:rPr>
        <w:t>„oddaja javnega naročila podizvajalcu“</w:t>
      </w:r>
      <w:r>
        <w:t xml:space="preserve">: javno naročilo v smislu člena II.10, ki zajema izvajanje nalog, ki so del </w:t>
      </w:r>
      <w:r>
        <w:rPr>
          <w:i/>
        </w:rPr>
        <w:t>ukrepa</w:t>
      </w:r>
      <w:r>
        <w:t>, s strani tretje osebe, kot je opisano v Prilogi I</w:t>
      </w:r>
      <w:r w:rsidR="00AE6D9E">
        <w:t>I</w:t>
      </w:r>
      <w:r>
        <w:t>.</w:t>
      </w:r>
    </w:p>
    <w:p w14:paraId="3BBB8B72" w14:textId="77777777" w:rsidR="00D30E81" w:rsidRPr="001C2768" w:rsidRDefault="00A73DA2" w:rsidP="00797757">
      <w:pPr>
        <w:pStyle w:val="Heading2"/>
        <w:spacing w:before="100" w:beforeAutospacing="1" w:after="100" w:afterAutospacing="1"/>
        <w:rPr>
          <w:rFonts w:ascii="Times New Roman" w:hAnsi="Times New Roman"/>
        </w:rPr>
      </w:pPr>
      <w:bookmarkStart w:id="12" w:name="_Toc441250818"/>
      <w:bookmarkStart w:id="13" w:name="_Toc1637162"/>
      <w:bookmarkStart w:id="14" w:name="_Toc30751949"/>
      <w:r>
        <w:rPr>
          <w:rFonts w:ascii="Times New Roman" w:hAnsi="Times New Roman"/>
        </w:rPr>
        <w:t>ČLEN II.2 – SPLOŠNE OBVEZNOSTI UPRAVIČENCA</w:t>
      </w:r>
      <w:bookmarkEnd w:id="12"/>
      <w:bookmarkEnd w:id="13"/>
      <w:bookmarkEnd w:id="14"/>
    </w:p>
    <w:p w14:paraId="3BBB8B73" w14:textId="77777777" w:rsidR="00D30E81" w:rsidRPr="00D06D68" w:rsidRDefault="00D30E81" w:rsidP="001C2768">
      <w:pPr>
        <w:spacing w:after="0" w:line="240" w:lineRule="auto"/>
        <w:jc w:val="both"/>
        <w:rPr>
          <w:szCs w:val="24"/>
        </w:rPr>
      </w:pPr>
      <w:r>
        <w:t>Upravičenec:</w:t>
      </w:r>
    </w:p>
    <w:p w14:paraId="3BBB8B75" w14:textId="77777777" w:rsidR="00D30E81" w:rsidRPr="004264AF" w:rsidRDefault="00D30E81" w:rsidP="001C2768">
      <w:pPr>
        <w:spacing w:after="0" w:line="240" w:lineRule="auto"/>
        <w:ind w:left="851" w:hanging="567"/>
        <w:jc w:val="both"/>
        <w:rPr>
          <w:szCs w:val="24"/>
        </w:rPr>
      </w:pPr>
      <w:r>
        <w:t>(a)</w:t>
      </w:r>
      <w:r>
        <w:tab/>
        <w:t xml:space="preserve">je odgovoren za izvedbo </w:t>
      </w:r>
      <w:r>
        <w:rPr>
          <w:i/>
        </w:rPr>
        <w:t>ukrepa</w:t>
      </w:r>
      <w:r>
        <w:t xml:space="preserve"> v skladu s sporazumom;</w:t>
      </w:r>
    </w:p>
    <w:p w14:paraId="3BBB8B76" w14:textId="77777777" w:rsidR="00D30E81" w:rsidRPr="004264AF" w:rsidRDefault="00D30E81" w:rsidP="001C2768">
      <w:pPr>
        <w:spacing w:after="0" w:line="240" w:lineRule="auto"/>
        <w:ind w:left="851" w:hanging="567"/>
        <w:jc w:val="both"/>
        <w:rPr>
          <w:szCs w:val="24"/>
        </w:rPr>
      </w:pPr>
      <w:r>
        <w:t>(b)</w:t>
      </w:r>
      <w:r>
        <w:tab/>
        <w:t>mora izpolnjevati vse svoje pravne obveznosti, ki zanj veljajo na podlagi prava EU ter mednarodnega in nacionalnega prava, ki se uporabljajo;</w:t>
      </w:r>
    </w:p>
    <w:p w14:paraId="3BBB8B77" w14:textId="77777777" w:rsidR="00A63D2A" w:rsidRPr="00D06D68" w:rsidRDefault="00A63D2A" w:rsidP="001C2768">
      <w:pPr>
        <w:spacing w:after="0" w:line="240" w:lineRule="auto"/>
        <w:ind w:left="851" w:hanging="567"/>
        <w:jc w:val="both"/>
        <w:rPr>
          <w:szCs w:val="24"/>
        </w:rPr>
      </w:pPr>
      <w:r>
        <w:t>(c)</w:t>
      </w:r>
      <w:r>
        <w:tab/>
        <w:t xml:space="preserve">mora nemudoma obvestiti Komisijo o kakršnem koli dogodku ali okoliščini, s katero je seznanjen in ki bi verjetno vplivala na izvajanje </w:t>
      </w:r>
      <w:r>
        <w:rPr>
          <w:i/>
        </w:rPr>
        <w:t>ukrepa</w:t>
      </w:r>
      <w:r>
        <w:t xml:space="preserve"> ali njegovo izvajanje odložila;</w:t>
      </w:r>
    </w:p>
    <w:p w14:paraId="3BBB8B78" w14:textId="7DC62332" w:rsidR="008B5EB6" w:rsidRPr="00D06D68" w:rsidRDefault="00A63D2A" w:rsidP="001C2768">
      <w:pPr>
        <w:spacing w:after="0" w:line="240" w:lineRule="auto"/>
        <w:ind w:left="851" w:hanging="567"/>
        <w:jc w:val="both"/>
        <w:rPr>
          <w:szCs w:val="24"/>
        </w:rPr>
      </w:pPr>
      <w:r>
        <w:t>(d)</w:t>
      </w:r>
      <w:r>
        <w:tab/>
        <w:t>mora nemudoma obvestiti Komisijo:</w:t>
      </w:r>
    </w:p>
    <w:p w14:paraId="3BBB8B79" w14:textId="77777777" w:rsidR="008B5EB6" w:rsidRPr="00D06D68" w:rsidRDefault="008B5EB6" w:rsidP="001C2768">
      <w:pPr>
        <w:numPr>
          <w:ilvl w:val="0"/>
          <w:numId w:val="110"/>
        </w:numPr>
        <w:spacing w:after="100" w:afterAutospacing="1" w:line="240" w:lineRule="auto"/>
        <w:ind w:left="1418" w:hanging="567"/>
        <w:jc w:val="both"/>
        <w:rPr>
          <w:rFonts w:eastAsia="Times New Roman"/>
          <w:szCs w:val="24"/>
        </w:rPr>
      </w:pPr>
      <w:r>
        <w:t>o kakršni koli spremembi svojih pravnih, finančnih, tehničnih, organizacijskih ali lastniških okoliščin in kakršni koli spremembi svojega imena, naslova ali zakonitega zastopnika;</w:t>
      </w:r>
    </w:p>
    <w:p w14:paraId="3BBB8B7A" w14:textId="6A31E87B" w:rsidR="008B5EB6" w:rsidRDefault="008B5EB6" w:rsidP="00DB645C">
      <w:pPr>
        <w:numPr>
          <w:ilvl w:val="0"/>
          <w:numId w:val="110"/>
        </w:numPr>
        <w:spacing w:before="100" w:beforeAutospacing="1" w:after="100" w:afterAutospacing="1" w:line="240" w:lineRule="auto"/>
        <w:ind w:left="1418" w:hanging="567"/>
        <w:jc w:val="both"/>
        <w:rPr>
          <w:rFonts w:eastAsia="Times New Roman"/>
          <w:szCs w:val="24"/>
        </w:rPr>
      </w:pPr>
      <w:r>
        <w:t>o kakršni koli spremembi pravnih, finančnih, tehničnih, organizacijskih ali nadzornih okoliščin njegovih povezanih subjektov in kakršni koli spremembi imena, naslova ali zakonitega zastopnika teh povezanih subjektov;</w:t>
      </w:r>
    </w:p>
    <w:p w14:paraId="14ABEEE2" w14:textId="293389C7" w:rsidR="006E45CF" w:rsidRPr="001C2768" w:rsidRDefault="00522AC0" w:rsidP="00DB645C">
      <w:pPr>
        <w:numPr>
          <w:ilvl w:val="0"/>
          <w:numId w:val="110"/>
        </w:numPr>
        <w:spacing w:before="100" w:beforeAutospacing="1" w:after="100" w:afterAutospacing="1" w:line="240" w:lineRule="auto"/>
        <w:ind w:left="1418" w:hanging="567"/>
        <w:jc w:val="both"/>
        <w:rPr>
          <w:rFonts w:eastAsia="Times New Roman"/>
          <w:szCs w:val="24"/>
        </w:rPr>
      </w:pPr>
      <w:r>
        <w:t xml:space="preserve"> o vsaki spremembi v zvezi s situacijami za izključitev, navedenimi v členu 136 Uredbe (EU) 2018/1046, vključno za njegove povezane subjekte.</w:t>
      </w:r>
    </w:p>
    <w:p w14:paraId="3BBB8B7C" w14:textId="77777777" w:rsidR="00D30E81" w:rsidRPr="001C2768" w:rsidRDefault="00A73DA2" w:rsidP="00797757">
      <w:pPr>
        <w:pStyle w:val="Heading2"/>
        <w:spacing w:before="100" w:beforeAutospacing="1" w:after="100" w:afterAutospacing="1"/>
        <w:rPr>
          <w:rFonts w:ascii="Times New Roman" w:hAnsi="Times New Roman"/>
        </w:rPr>
      </w:pPr>
      <w:bookmarkStart w:id="15" w:name="_Toc441250822"/>
      <w:bookmarkStart w:id="16" w:name="_Toc1637163"/>
      <w:bookmarkStart w:id="17" w:name="_Toc30751950"/>
      <w:r>
        <w:rPr>
          <w:rFonts w:ascii="Times New Roman" w:hAnsi="Times New Roman"/>
        </w:rPr>
        <w:t>ČLEN II.3 – KOMUNIKACIJA MED STRANKAMA</w:t>
      </w:r>
      <w:bookmarkEnd w:id="15"/>
      <w:bookmarkEnd w:id="16"/>
      <w:bookmarkEnd w:id="17"/>
    </w:p>
    <w:p w14:paraId="3BBB8B7E" w14:textId="77777777" w:rsidR="00D30E81" w:rsidRPr="00D06D68" w:rsidRDefault="005A7083" w:rsidP="00797757">
      <w:pPr>
        <w:pStyle w:val="Heading3"/>
        <w:spacing w:before="100" w:beforeAutospacing="1" w:after="100" w:afterAutospacing="1"/>
      </w:pPr>
      <w:bookmarkStart w:id="18" w:name="_Toc441250823"/>
      <w:bookmarkStart w:id="19" w:name="_Toc1637164"/>
      <w:bookmarkStart w:id="20" w:name="_Toc30751951"/>
      <w:r>
        <w:t>II.3.1 Načini in sredstva komunikacije</w:t>
      </w:r>
      <w:bookmarkEnd w:id="18"/>
      <w:bookmarkEnd w:id="19"/>
      <w:bookmarkEnd w:id="20"/>
    </w:p>
    <w:p w14:paraId="3BBB8B7F" w14:textId="08FEC961" w:rsidR="00D30E81" w:rsidRPr="004264AF" w:rsidRDefault="00D30E81" w:rsidP="001C2768">
      <w:pPr>
        <w:spacing w:before="100" w:beforeAutospacing="1" w:after="0" w:line="240" w:lineRule="auto"/>
        <w:jc w:val="both"/>
        <w:rPr>
          <w:szCs w:val="24"/>
        </w:rPr>
      </w:pPr>
      <w:r>
        <w:t>Vsa komunikacija v zvezi s sporazumom ali njegovim izvajanjem, vključno z obvestilom o odločitvi, dopisi, dokumenti ali informacijami v zvezi z upravnimi postopki, mora:</w:t>
      </w:r>
    </w:p>
    <w:p w14:paraId="3BBB8B80" w14:textId="0D3DD602" w:rsidR="00D30E81" w:rsidRPr="004264AF" w:rsidRDefault="00D30E81" w:rsidP="00030FCD">
      <w:pPr>
        <w:numPr>
          <w:ilvl w:val="0"/>
          <w:numId w:val="43"/>
        </w:numPr>
        <w:spacing w:before="100" w:beforeAutospacing="1" w:after="100" w:afterAutospacing="1" w:line="240" w:lineRule="auto"/>
        <w:ind w:left="851" w:hanging="567"/>
        <w:jc w:val="both"/>
        <w:rPr>
          <w:szCs w:val="24"/>
        </w:rPr>
      </w:pPr>
      <w:r>
        <w:t>potekati pisno (v papirni ali elektronski obliki) v jeziku sporazuma;</w:t>
      </w:r>
    </w:p>
    <w:p w14:paraId="3BBB8B81" w14:textId="77777777" w:rsidR="00D30E81" w:rsidRPr="004264AF" w:rsidRDefault="00D30E81" w:rsidP="00DB645C">
      <w:pPr>
        <w:numPr>
          <w:ilvl w:val="0"/>
          <w:numId w:val="43"/>
        </w:numPr>
        <w:spacing w:before="100" w:beforeAutospacing="1" w:after="100" w:afterAutospacing="1" w:line="240" w:lineRule="auto"/>
        <w:ind w:left="851" w:hanging="567"/>
        <w:jc w:val="both"/>
        <w:rPr>
          <w:szCs w:val="24"/>
        </w:rPr>
      </w:pPr>
      <w:r>
        <w:t>vključevati številko sporazuma in</w:t>
      </w:r>
    </w:p>
    <w:p w14:paraId="3BBB8B82" w14:textId="143FCAFE" w:rsidR="00D30E81" w:rsidRPr="004264AF" w:rsidRDefault="00D30E81" w:rsidP="00DB645C">
      <w:pPr>
        <w:numPr>
          <w:ilvl w:val="0"/>
          <w:numId w:val="43"/>
        </w:numPr>
        <w:spacing w:before="100" w:beforeAutospacing="1" w:after="100" w:afterAutospacing="1" w:line="240" w:lineRule="auto"/>
        <w:ind w:left="851" w:hanging="567"/>
        <w:jc w:val="both"/>
        <w:rPr>
          <w:szCs w:val="24"/>
        </w:rPr>
      </w:pPr>
      <w:r>
        <w:t>vključevati kontaktne podatke iz člena I.</w:t>
      </w:r>
      <w:r w:rsidR="00AE6D9E">
        <w:t>6</w:t>
      </w:r>
      <w:r>
        <w:t>.</w:t>
      </w:r>
    </w:p>
    <w:p w14:paraId="4492564E" w14:textId="2AF281AF" w:rsidR="00030FCD" w:rsidRDefault="00030FCD" w:rsidP="00797757">
      <w:pPr>
        <w:spacing w:before="100" w:beforeAutospacing="1" w:after="100" w:afterAutospacing="1" w:line="240" w:lineRule="auto"/>
        <w:jc w:val="both"/>
        <w:rPr>
          <w:szCs w:val="24"/>
        </w:rPr>
      </w:pPr>
      <w:r>
        <w:t xml:space="preserve">Stranki predvsem soglašata, da imajo vsa </w:t>
      </w:r>
      <w:r>
        <w:rPr>
          <w:i/>
        </w:rPr>
        <w:t>uradna obvestila</w:t>
      </w:r>
      <w:r>
        <w:t>, posredovana po pošti ali e-pošti, poln pravni učinek in so dopustna kot dokazi v upravnih ali sodnih postopkih.</w:t>
      </w:r>
    </w:p>
    <w:p w14:paraId="3BBB8B83" w14:textId="003DEA69" w:rsidR="00D30E81" w:rsidRPr="004264AF" w:rsidRDefault="00D30E81" w:rsidP="00797757">
      <w:pPr>
        <w:spacing w:before="100" w:beforeAutospacing="1" w:after="100" w:afterAutospacing="1" w:line="240" w:lineRule="auto"/>
        <w:jc w:val="both"/>
        <w:rPr>
          <w:szCs w:val="24"/>
        </w:rPr>
      </w:pPr>
      <w:r>
        <w:t>Če stranka zahteva pisno potrditev elektronskega sporočila v razumnem času, mora pošiljatelj čim prej zagotoviti podpisan tiskan izvod dokumenta, ki je bil poslan v elektronski obliki.</w:t>
      </w:r>
    </w:p>
    <w:p w14:paraId="3BBB8B84" w14:textId="77777777" w:rsidR="00D30E81" w:rsidRPr="00D06D68" w:rsidRDefault="005A7083" w:rsidP="00797757">
      <w:pPr>
        <w:pStyle w:val="Heading3"/>
        <w:spacing w:before="100" w:beforeAutospacing="1" w:after="100" w:afterAutospacing="1"/>
      </w:pPr>
      <w:bookmarkStart w:id="21" w:name="_Toc441250824"/>
      <w:bookmarkStart w:id="22" w:name="_Toc1637165"/>
      <w:bookmarkStart w:id="23" w:name="_Toc30751952"/>
      <w:r>
        <w:t>II.3.2 Datum sporočil</w:t>
      </w:r>
      <w:bookmarkEnd w:id="21"/>
      <w:bookmarkEnd w:id="22"/>
      <w:bookmarkEnd w:id="23"/>
    </w:p>
    <w:p w14:paraId="3BBB8B85" w14:textId="006DA3EE" w:rsidR="00D30E81" w:rsidRPr="004264AF" w:rsidRDefault="00D30E81" w:rsidP="00797757">
      <w:pPr>
        <w:spacing w:before="100" w:beforeAutospacing="1" w:after="100" w:afterAutospacing="1" w:line="240" w:lineRule="auto"/>
        <w:jc w:val="both"/>
        <w:rPr>
          <w:szCs w:val="24"/>
        </w:rPr>
      </w:pPr>
      <w:r>
        <w:t>Vsako sporočilo se šteje kot sporočeno, ko ga prejme stranka prejemnica, razen če je v sporazumu določeno, da se sporočilo šteje kot sporočeno na datum, ko je bilo poslano.</w:t>
      </w:r>
    </w:p>
    <w:p w14:paraId="3BBB8B86" w14:textId="6E5B3F5F" w:rsidR="00D30E81" w:rsidRPr="004264AF" w:rsidRDefault="00774912" w:rsidP="00797757">
      <w:pPr>
        <w:spacing w:before="100" w:beforeAutospacing="1" w:after="100" w:afterAutospacing="1" w:line="240" w:lineRule="auto"/>
        <w:jc w:val="both"/>
        <w:rPr>
          <w:szCs w:val="24"/>
        </w:rPr>
      </w:pPr>
      <w:r>
        <w:t>Za elektronsko sporočilo se šteje, da ga je stranka prejemnica prejela na datum, ko je bilo odposlano, če je bilo poslano na elektronski naslov, naveden v členu I.</w:t>
      </w:r>
      <w:r w:rsidR="00AE6D9E">
        <w:t>6</w:t>
      </w:r>
      <w:r>
        <w:t>. Pošiljatelj mora biti zmožen predložiti dokazilo o datumu pošiljanja, na primer s samodejno ustvarjenim potrdilom o prebrani elektronski pošti. Če pošiljatelj prejme obvestilo o neuspeli dostavi, mora sprejeti vse ustrezne ukrepe za zagotovitev, da druga stranka dejansko prejme sporočilo po elektronski ali navadni pošti. V takem primeru se za pošiljatelja ne šteje, da je kršil svoje obveznosti v zvezi s pošiljanjem sporočila v določenem roku.</w:t>
      </w:r>
    </w:p>
    <w:p w14:paraId="3BBB8B87" w14:textId="3D9B1C31" w:rsidR="00D30E81" w:rsidRPr="004264AF" w:rsidRDefault="00D30E81" w:rsidP="00797757">
      <w:pPr>
        <w:spacing w:before="100" w:beforeAutospacing="1" w:after="100" w:afterAutospacing="1" w:line="240" w:lineRule="auto"/>
        <w:jc w:val="both"/>
        <w:rPr>
          <w:szCs w:val="24"/>
        </w:rPr>
      </w:pPr>
      <w:r>
        <w:t>Za pošiljko po pošti ali s kurirsko službo se šteje, da jo je Komisija prejela na dan, ko jo je evidentiral odgovorni oddelek, naveden v členu I.</w:t>
      </w:r>
      <w:r w:rsidR="00AE6D9E">
        <w:t>6</w:t>
      </w:r>
      <w:r>
        <w:t>.</w:t>
      </w:r>
    </w:p>
    <w:p w14:paraId="2B0C7EDB" w14:textId="3BE0F708" w:rsidR="00030FCD" w:rsidRDefault="00D30E81" w:rsidP="00797757">
      <w:pPr>
        <w:spacing w:before="100" w:beforeAutospacing="1" w:after="100" w:afterAutospacing="1" w:line="240" w:lineRule="auto"/>
        <w:jc w:val="both"/>
        <w:rPr>
          <w:szCs w:val="24"/>
        </w:rPr>
      </w:pPr>
      <w:r>
        <w:t xml:space="preserve">Za </w:t>
      </w:r>
      <w:r>
        <w:rPr>
          <w:i/>
        </w:rPr>
        <w:t>uradna obvestila</w:t>
      </w:r>
      <w:r>
        <w:t xml:space="preserve"> se šteje, da jih prejemnik prejme na datum prejema, naveden v potrdilu o dostavi sporočila naslovniku, ki ga prejme pošiljatelj.</w:t>
      </w:r>
    </w:p>
    <w:p w14:paraId="77EBF343" w14:textId="616CE0D4" w:rsidR="00030FCD" w:rsidRDefault="00030FCD" w:rsidP="00030FCD">
      <w:pPr>
        <w:spacing w:before="100" w:beforeAutospacing="1" w:after="100" w:afterAutospacing="1" w:line="240" w:lineRule="auto"/>
        <w:jc w:val="both"/>
        <w:rPr>
          <w:szCs w:val="24"/>
        </w:rPr>
      </w:pPr>
      <w:r>
        <w:t>Komisija lahko vsako nerazkrito spremembo poštnega ali elektronskega naslova s strani druge pogodbenice tega sporazuma obravnava kot hudo kršitev poklicnih pravil, ki je ena od situacij za izključitev iz člena 136(1)(c) Uredbe (EU, Euratom) 2018/1046.</w:t>
      </w:r>
    </w:p>
    <w:p w14:paraId="3BBB8B9C" w14:textId="77777777" w:rsidR="00D30E81" w:rsidRPr="001A04C2" w:rsidRDefault="00A73DA2" w:rsidP="00797757">
      <w:pPr>
        <w:pStyle w:val="Heading2"/>
        <w:spacing w:before="100" w:beforeAutospacing="1" w:after="100" w:afterAutospacing="1"/>
      </w:pPr>
      <w:bookmarkStart w:id="24" w:name="_Toc441250827"/>
      <w:bookmarkStart w:id="25" w:name="_Toc1637166"/>
      <w:bookmarkStart w:id="26" w:name="_Toc30751953"/>
      <w:r>
        <w:t>ČLEN II.4 – ODŠKODNINSKA ODGOVORNOST</w:t>
      </w:r>
      <w:bookmarkEnd w:id="24"/>
      <w:bookmarkEnd w:id="25"/>
      <w:bookmarkEnd w:id="26"/>
    </w:p>
    <w:p w14:paraId="3BBB8B9D" w14:textId="77777777" w:rsidR="00D30E81" w:rsidRPr="004264AF" w:rsidRDefault="00D30E81" w:rsidP="00797757">
      <w:pPr>
        <w:adjustRightInd w:val="0"/>
        <w:spacing w:before="100" w:beforeAutospacing="1" w:after="100" w:afterAutospacing="1" w:line="240" w:lineRule="auto"/>
        <w:ind w:left="709" w:hanging="709"/>
        <w:jc w:val="both"/>
        <w:rPr>
          <w:szCs w:val="24"/>
        </w:rPr>
      </w:pPr>
      <w:r>
        <w:rPr>
          <w:b/>
        </w:rPr>
        <w:t>II.4.1</w:t>
      </w:r>
      <w:r>
        <w:tab/>
        <w:t xml:space="preserve">Komisija ni odgovorna za kakršno koli škodo, ki jo povzroči ali utrpi upravičenec, vključno s kakršno koli škodo, ki je povzročena tretjim osebam zaradi izvajanja ali med izvajanjem </w:t>
      </w:r>
      <w:r>
        <w:rPr>
          <w:i/>
        </w:rPr>
        <w:t>ukrepa</w:t>
      </w:r>
      <w:r>
        <w:t>.</w:t>
      </w:r>
    </w:p>
    <w:p w14:paraId="3BBB8B9E" w14:textId="22B98411" w:rsidR="00D30E81" w:rsidRDefault="00D30E81" w:rsidP="00797757">
      <w:pPr>
        <w:adjustRightInd w:val="0"/>
        <w:spacing w:before="100" w:beforeAutospacing="1" w:after="100" w:afterAutospacing="1" w:line="240" w:lineRule="auto"/>
        <w:ind w:left="709" w:hanging="709"/>
        <w:jc w:val="both"/>
        <w:rPr>
          <w:szCs w:val="24"/>
        </w:rPr>
      </w:pPr>
      <w:r>
        <w:rPr>
          <w:b/>
        </w:rPr>
        <w:t>II.4.2</w:t>
      </w:r>
      <w:r>
        <w:tab/>
        <w:t xml:space="preserve">Upravičenec mora, razen v primeru </w:t>
      </w:r>
      <w:r>
        <w:rPr>
          <w:i/>
        </w:rPr>
        <w:t>višje sile</w:t>
      </w:r>
      <w:r>
        <w:t xml:space="preserve">, Komisiji poravnati vso škodo, ki ji je bila povzročena zaradi izvajanja </w:t>
      </w:r>
      <w:r>
        <w:rPr>
          <w:i/>
        </w:rPr>
        <w:t>ukrepa</w:t>
      </w:r>
      <w:r>
        <w:t xml:space="preserve"> ali zato, ker </w:t>
      </w:r>
      <w:r>
        <w:rPr>
          <w:i/>
        </w:rPr>
        <w:t>ukrep</w:t>
      </w:r>
      <w:r>
        <w:t xml:space="preserve"> ni bil v celoti izveden v skladu s sporazumom.</w:t>
      </w:r>
    </w:p>
    <w:p w14:paraId="3BBB8B9F" w14:textId="77777777" w:rsidR="00D30E81" w:rsidRPr="001A04C2" w:rsidRDefault="00A73DA2" w:rsidP="00797757">
      <w:pPr>
        <w:pStyle w:val="Heading2"/>
        <w:spacing w:before="100" w:beforeAutospacing="1" w:after="100" w:afterAutospacing="1"/>
      </w:pPr>
      <w:bookmarkStart w:id="27" w:name="_Toc441250828"/>
      <w:bookmarkStart w:id="28" w:name="_Toc1637167"/>
      <w:bookmarkStart w:id="29" w:name="_Toc30751954"/>
      <w:r>
        <w:t>ČLEN II.5 – NAVZKRIŽJE INTERESOV</w:t>
      </w:r>
      <w:bookmarkEnd w:id="27"/>
      <w:bookmarkEnd w:id="28"/>
      <w:bookmarkEnd w:id="29"/>
    </w:p>
    <w:p w14:paraId="3BBB8BA0" w14:textId="77777777" w:rsidR="00D30E81" w:rsidRPr="004264AF" w:rsidRDefault="00D30E81" w:rsidP="00797757">
      <w:pPr>
        <w:spacing w:before="100" w:beforeAutospacing="1" w:after="100" w:afterAutospacing="1" w:line="240" w:lineRule="auto"/>
        <w:ind w:left="720" w:hanging="720"/>
        <w:jc w:val="both"/>
        <w:rPr>
          <w:szCs w:val="24"/>
        </w:rPr>
      </w:pPr>
      <w:r>
        <w:rPr>
          <w:b/>
        </w:rPr>
        <w:t>II.5.1</w:t>
      </w:r>
      <w:r>
        <w:tab/>
        <w:t xml:space="preserve">Upravičenec mora sprejeti vse potrebne ukrepe, da prepreči kakršne koli okoliščine </w:t>
      </w:r>
      <w:r>
        <w:rPr>
          <w:i/>
        </w:rPr>
        <w:t>navzkrižja interesov</w:t>
      </w:r>
      <w:r>
        <w:t>.</w:t>
      </w:r>
    </w:p>
    <w:p w14:paraId="3BBB8BA1" w14:textId="77777777" w:rsidR="00D30E81" w:rsidRPr="004264AF" w:rsidRDefault="00D30E81" w:rsidP="00797757">
      <w:pPr>
        <w:spacing w:before="100" w:beforeAutospacing="1" w:after="100" w:afterAutospacing="1" w:line="240" w:lineRule="auto"/>
        <w:ind w:left="720" w:hanging="720"/>
        <w:jc w:val="both"/>
        <w:rPr>
          <w:szCs w:val="24"/>
        </w:rPr>
      </w:pPr>
      <w:r>
        <w:rPr>
          <w:b/>
        </w:rPr>
        <w:t>II.5.2</w:t>
      </w:r>
      <w:r>
        <w:tab/>
        <w:t xml:space="preserve">Upravičenec mora Komisijo nemudoma obvestiti o vsaki okoliščini, ki pomeni </w:t>
      </w:r>
      <w:r>
        <w:rPr>
          <w:i/>
        </w:rPr>
        <w:t>navzkrižje interesov</w:t>
      </w:r>
      <w:r>
        <w:t xml:space="preserve"> ali v kateri bi lahko nastopilo </w:t>
      </w:r>
      <w:r>
        <w:rPr>
          <w:i/>
        </w:rPr>
        <w:t>navzkrižje interesov</w:t>
      </w:r>
      <w:r>
        <w:t>. Nemudoma mora sprejeti vse potrebne ukrepe, da se te okoliščine odpravijo.</w:t>
      </w:r>
    </w:p>
    <w:p w14:paraId="3BBB8BA2" w14:textId="7890A7D3" w:rsidR="00D30E81" w:rsidRDefault="00D30E81" w:rsidP="00797757">
      <w:pPr>
        <w:spacing w:before="100" w:beforeAutospacing="1" w:after="100" w:afterAutospacing="1" w:line="240" w:lineRule="auto"/>
        <w:ind w:left="720"/>
        <w:jc w:val="both"/>
        <w:rPr>
          <w:szCs w:val="24"/>
        </w:rPr>
      </w:pPr>
      <w:r>
        <w:t>Komisija lahko preveri, ali so sprejeti ukrepi ustrezni, in lahko zahteva, da se v za to določenem roku sprejmejo dodatni ukrepi.</w:t>
      </w:r>
    </w:p>
    <w:p w14:paraId="3BBB8BA3" w14:textId="77777777" w:rsidR="00D30E81" w:rsidRPr="001A04C2" w:rsidRDefault="00A73DA2" w:rsidP="00797757">
      <w:pPr>
        <w:pStyle w:val="Heading2"/>
        <w:spacing w:before="100" w:beforeAutospacing="1" w:after="100" w:afterAutospacing="1"/>
      </w:pPr>
      <w:bookmarkStart w:id="30" w:name="_Toc441250829"/>
      <w:bookmarkStart w:id="31" w:name="_Toc1637168"/>
      <w:bookmarkStart w:id="32" w:name="_Toc30751955"/>
      <w:r>
        <w:t>ČLEN II.6 – ZAUPNOST</w:t>
      </w:r>
      <w:bookmarkEnd w:id="30"/>
      <w:bookmarkEnd w:id="31"/>
      <w:bookmarkEnd w:id="32"/>
    </w:p>
    <w:p w14:paraId="3BBB8BA4" w14:textId="77777777" w:rsidR="00D30E81" w:rsidRPr="004264AF" w:rsidRDefault="00D30E81" w:rsidP="00797757">
      <w:pPr>
        <w:spacing w:before="100" w:beforeAutospacing="1" w:after="100" w:afterAutospacing="1" w:line="240" w:lineRule="auto"/>
        <w:ind w:left="720" w:hanging="720"/>
        <w:jc w:val="both"/>
        <w:rPr>
          <w:szCs w:val="24"/>
        </w:rPr>
      </w:pPr>
      <w:r>
        <w:rPr>
          <w:b/>
        </w:rPr>
        <w:t>II.6.1</w:t>
      </w:r>
      <w:r>
        <w:tab/>
        <w:t xml:space="preserve">Med izvajanjem </w:t>
      </w:r>
      <w:r>
        <w:rPr>
          <w:i/>
        </w:rPr>
        <w:t>ukrepa</w:t>
      </w:r>
      <w:r>
        <w:t xml:space="preserve"> in za obdobje petih let po plačilu razlike morata stranki vse </w:t>
      </w:r>
      <w:r>
        <w:rPr>
          <w:i/>
        </w:rPr>
        <w:t>zaupne informacije in dokumente</w:t>
      </w:r>
      <w:r>
        <w:t xml:space="preserve"> obravnavati zaupno.</w:t>
      </w:r>
    </w:p>
    <w:p w14:paraId="3BBB8BA5" w14:textId="77777777" w:rsidR="00D30E81" w:rsidRPr="004264AF" w:rsidRDefault="00D30E81" w:rsidP="00797757">
      <w:pPr>
        <w:spacing w:before="100" w:beforeAutospacing="1" w:after="100" w:afterAutospacing="1" w:line="240" w:lineRule="auto"/>
        <w:ind w:left="720" w:hanging="720"/>
        <w:jc w:val="both"/>
        <w:rPr>
          <w:szCs w:val="24"/>
        </w:rPr>
      </w:pPr>
      <w:r>
        <w:rPr>
          <w:b/>
        </w:rPr>
        <w:t>II.6.2</w:t>
      </w:r>
      <w:r>
        <w:tab/>
        <w:t xml:space="preserve">Stranki </w:t>
      </w:r>
      <w:r>
        <w:rPr>
          <w:i/>
        </w:rPr>
        <w:t>zaupnih informacij in dokumentov</w:t>
      </w:r>
      <w:r>
        <w:t xml:space="preserve"> ne smeta uporabiti za druge namene, kot za izpolnjevanje svojih obveznosti iz sporazuma, razen če prej pridobita predhodno pisno soglasje druge stranke.</w:t>
      </w:r>
    </w:p>
    <w:p w14:paraId="3BBB8BA6" w14:textId="77777777" w:rsidR="00D30E81" w:rsidRPr="004264AF" w:rsidRDefault="00D30E81" w:rsidP="001C2768">
      <w:pPr>
        <w:spacing w:before="100" w:beforeAutospacing="1" w:after="0" w:line="240" w:lineRule="auto"/>
        <w:jc w:val="both"/>
        <w:rPr>
          <w:szCs w:val="24"/>
        </w:rPr>
      </w:pPr>
      <w:r>
        <w:rPr>
          <w:b/>
        </w:rPr>
        <w:t>II.6.3</w:t>
      </w:r>
      <w:r>
        <w:tab/>
        <w:t>Obveznosti glede zaupnosti se ne uporabljajo, če:</w:t>
      </w:r>
    </w:p>
    <w:p w14:paraId="3BBB8BA7" w14:textId="77777777" w:rsidR="00D30E81" w:rsidRPr="004264AF" w:rsidRDefault="00D30E81" w:rsidP="001C2768">
      <w:pPr>
        <w:numPr>
          <w:ilvl w:val="0"/>
          <w:numId w:val="44"/>
        </w:numPr>
        <w:spacing w:after="100" w:afterAutospacing="1" w:line="240" w:lineRule="auto"/>
        <w:ind w:left="1418" w:hanging="567"/>
        <w:jc w:val="both"/>
        <w:rPr>
          <w:szCs w:val="24"/>
        </w:rPr>
      </w:pPr>
      <w:r>
        <w:t>se stranka, ki je podatke razkrila, strinja, da drugo stranko odveže navedenih obveznosti;</w:t>
      </w:r>
    </w:p>
    <w:p w14:paraId="3BBB8BA8"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rPr>
          <w:i/>
        </w:rPr>
        <w:t>zaupne informacije ali dokumenti</w:t>
      </w:r>
      <w:r>
        <w:t xml:space="preserve"> postanejo javni, vendar ne s kršitvijo obveznosti glede zaupnosti;</w:t>
      </w:r>
    </w:p>
    <w:p w14:paraId="3BBB8BA9"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t xml:space="preserve">razkritje </w:t>
      </w:r>
      <w:r>
        <w:rPr>
          <w:i/>
        </w:rPr>
        <w:t>zaupnih informacij ali dokumentov</w:t>
      </w:r>
      <w:r>
        <w:t xml:space="preserve"> zahteva zakonodaja.</w:t>
      </w:r>
    </w:p>
    <w:p w14:paraId="3BBB8BAA" w14:textId="271DF54D" w:rsidR="00D30E81" w:rsidRPr="001A04C2" w:rsidRDefault="00A73DA2" w:rsidP="00797757">
      <w:pPr>
        <w:pStyle w:val="Heading2"/>
        <w:spacing w:before="100" w:beforeAutospacing="1" w:after="100" w:afterAutospacing="1"/>
      </w:pPr>
      <w:bookmarkStart w:id="33" w:name="_Toc441250830"/>
      <w:bookmarkStart w:id="34" w:name="_Toc1637169"/>
      <w:bookmarkStart w:id="35" w:name="_Toc30751956"/>
      <w:r>
        <w:t>ČLEN II.7 – OBDELAVA OSEBNIH PODATKOV</w:t>
      </w:r>
      <w:bookmarkEnd w:id="33"/>
      <w:bookmarkEnd w:id="34"/>
      <w:bookmarkEnd w:id="35"/>
    </w:p>
    <w:p w14:paraId="3BBB8BAB" w14:textId="77777777" w:rsidR="00D30E81" w:rsidRPr="00D06D68" w:rsidRDefault="00D30E81" w:rsidP="00797757">
      <w:pPr>
        <w:pStyle w:val="Heading3"/>
        <w:spacing w:before="100" w:beforeAutospacing="1" w:after="100" w:afterAutospacing="1"/>
      </w:pPr>
      <w:bookmarkStart w:id="36" w:name="_Toc441250831"/>
      <w:bookmarkStart w:id="37" w:name="_Toc1637170"/>
      <w:bookmarkStart w:id="38" w:name="_Toc30751957"/>
      <w:r>
        <w:t>II.7.1</w:t>
      </w:r>
      <w:r>
        <w:tab/>
        <w:t>Obdelava osebnih podatkov s strani Komisije</w:t>
      </w:r>
      <w:bookmarkEnd w:id="36"/>
      <w:bookmarkEnd w:id="37"/>
      <w:bookmarkEnd w:id="38"/>
    </w:p>
    <w:p w14:paraId="3BBB8BAC" w14:textId="75E8F627" w:rsidR="00D30E81" w:rsidRPr="004264AF" w:rsidRDefault="00D30E81" w:rsidP="00797757">
      <w:pPr>
        <w:spacing w:before="100" w:beforeAutospacing="1" w:after="100" w:afterAutospacing="1" w:line="240" w:lineRule="auto"/>
        <w:jc w:val="both"/>
        <w:rPr>
          <w:szCs w:val="24"/>
        </w:rPr>
      </w:pPr>
      <w:r>
        <w:t>Komisija mora vse osebne podatke v sporazumu obdelati v skladu z Uredbo (EU) 2018/1725</w:t>
      </w:r>
      <w:r>
        <w:rPr>
          <w:rStyle w:val="FootnoteReference"/>
        </w:rPr>
        <w:footnoteReference w:id="1"/>
      </w:r>
      <w:r>
        <w:t>.</w:t>
      </w:r>
    </w:p>
    <w:p w14:paraId="3BBB8BAD" w14:textId="51180F73" w:rsidR="00D30E81" w:rsidRPr="004264AF" w:rsidRDefault="00D30E81" w:rsidP="00797757">
      <w:pPr>
        <w:spacing w:before="100" w:beforeAutospacing="1" w:after="100" w:afterAutospacing="1" w:line="240" w:lineRule="auto"/>
        <w:jc w:val="both"/>
        <w:rPr>
          <w:color w:val="000000"/>
          <w:szCs w:val="24"/>
        </w:rPr>
      </w:pPr>
      <w:r>
        <w:t xml:space="preserve">Take podatke mora obdelovati </w:t>
      </w:r>
      <w:r>
        <w:rPr>
          <w:color w:val="000000"/>
        </w:rPr>
        <w:t>upravljavec podatkov, določen v členu I.</w:t>
      </w:r>
      <w:r w:rsidR="00AE6D9E">
        <w:rPr>
          <w:color w:val="000000"/>
        </w:rPr>
        <w:t>6</w:t>
      </w:r>
      <w:r>
        <w:t>, in sicer izključno za namene izvajanja, upravljanja in spremljanja sporazuma ali zaščite finančnih interesov EU, vključno s preverjanji, revizijami in preiskavami v skladu s členom II.27.</w:t>
      </w:r>
    </w:p>
    <w:p w14:paraId="3BBB8BAE" w14:textId="23158F83" w:rsidR="00D30E81" w:rsidRPr="00D06D68" w:rsidRDefault="00D30E81" w:rsidP="00797757">
      <w:pPr>
        <w:spacing w:before="100" w:beforeAutospacing="1" w:after="100" w:afterAutospacing="1" w:line="240" w:lineRule="auto"/>
        <w:jc w:val="both"/>
        <w:rPr>
          <w:szCs w:val="24"/>
        </w:rPr>
      </w:pPr>
      <w:r>
        <w:t xml:space="preserve">Upravičenec </w:t>
      </w:r>
      <w:r>
        <w:rPr>
          <w:color w:val="000000"/>
        </w:rPr>
        <w:t>ima pravico do dostopa, popravka ali izbrisa svojih osebnih podatkov in pravico do omejitve ali, kadar je potrebno, pravico do prenosljivosti podatkov ali pravico do ugovora obdelavi podatkov v skladu z Uredbo (EU) 2018/1725. V ta namen mora kakršna koli vprašanja glede obdelave njegovih osebnih podatkov poslati upravljavcu podatkov, določenem v členu I.</w:t>
      </w:r>
      <w:r w:rsidR="00AE6D9E">
        <w:rPr>
          <w:color w:val="000000"/>
        </w:rPr>
        <w:t>6</w:t>
      </w:r>
      <w:r>
        <w:rPr>
          <w:color w:val="000000"/>
        </w:rPr>
        <w:t>.</w:t>
      </w:r>
    </w:p>
    <w:p w14:paraId="3BBB8BAF" w14:textId="77777777" w:rsidR="00D30E81" w:rsidRPr="00D06D68" w:rsidRDefault="00D30E81" w:rsidP="00797757">
      <w:pPr>
        <w:spacing w:before="100" w:beforeAutospacing="1" w:after="100" w:afterAutospacing="1" w:line="240" w:lineRule="auto"/>
        <w:jc w:val="both"/>
        <w:rPr>
          <w:szCs w:val="24"/>
        </w:rPr>
      </w:pPr>
      <w:r>
        <w:t xml:space="preserve">Upravičenec lahko </w:t>
      </w:r>
      <w:r>
        <w:rPr>
          <w:color w:val="000000"/>
        </w:rPr>
        <w:t>kadar koli vloži pritožbo pri</w:t>
      </w:r>
      <w:r>
        <w:t xml:space="preserve"> Evropskem nadzorniku za varstvo podatkov.</w:t>
      </w:r>
    </w:p>
    <w:p w14:paraId="3BBB8BB0" w14:textId="77777777" w:rsidR="00D30E81" w:rsidRPr="00D06D68" w:rsidRDefault="00D30E81" w:rsidP="00797757">
      <w:pPr>
        <w:pStyle w:val="Heading3"/>
        <w:spacing w:before="100" w:beforeAutospacing="1" w:after="100" w:afterAutospacing="1"/>
      </w:pPr>
      <w:bookmarkStart w:id="39" w:name="_Toc441250832"/>
      <w:bookmarkStart w:id="40" w:name="_Toc1637171"/>
      <w:bookmarkStart w:id="41" w:name="_Toc30751958"/>
      <w:r>
        <w:t>II.7.2</w:t>
      </w:r>
      <w:r>
        <w:tab/>
        <w:t xml:space="preserve">Obdelava osebnih podatkov s strani </w:t>
      </w:r>
      <w:bookmarkEnd w:id="39"/>
      <w:r>
        <w:t>upravičenca</w:t>
      </w:r>
      <w:bookmarkEnd w:id="40"/>
      <w:bookmarkEnd w:id="41"/>
    </w:p>
    <w:p w14:paraId="3BBB8BB1" w14:textId="77777777" w:rsidR="00D30E81" w:rsidRPr="004264AF" w:rsidRDefault="00D30E81" w:rsidP="00797757">
      <w:pPr>
        <w:spacing w:before="100" w:beforeAutospacing="1" w:after="100" w:afterAutospacing="1" w:line="240" w:lineRule="auto"/>
        <w:jc w:val="both"/>
        <w:rPr>
          <w:szCs w:val="24"/>
        </w:rPr>
      </w:pPr>
      <w:r>
        <w:t>Upravičenec mora osebne podatke v okviru sporazuma obdelati v skladu s pravom EU in nacionalnim pravom o varstvu podatkov, ki se uporabljata (vključno z zahtevami glede dovoljenj ali obveščanja).</w:t>
      </w:r>
    </w:p>
    <w:p w14:paraId="3BBB8BB2" w14:textId="20CF4E19" w:rsidR="00D30E81" w:rsidRDefault="00D30E81" w:rsidP="0013424F">
      <w:pPr>
        <w:spacing w:before="100" w:beforeAutospacing="1" w:after="0" w:line="240" w:lineRule="auto"/>
        <w:jc w:val="both"/>
      </w:pPr>
      <w:r>
        <w:t>Upravičenec lahko podeli svojemu osebju dostop samo do tistih podatkov, ki so izrecno potrebni za izvajanje, upravljanje in spremljanje sporazuma. Upravičenec mora zagotoviti, da je osebje, ki je pooblaščeno za obdelavo osebnih podatkov, zavezano k zaupnosti ali ga k zaupnosti zavezuje ustrezen zakon.</w:t>
      </w:r>
    </w:p>
    <w:p w14:paraId="3BBB8BB3" w14:textId="00758DDB" w:rsidR="00D30E81" w:rsidRDefault="00D30E81" w:rsidP="0013424F">
      <w:pPr>
        <w:spacing w:before="100" w:beforeAutospacing="1" w:after="0" w:line="240" w:lineRule="auto"/>
        <w:jc w:val="both"/>
        <w:rPr>
          <w:szCs w:val="24"/>
        </w:rPr>
      </w:pPr>
      <w:r>
        <w:t>Upravičenec mora sprejeti ustrezne tehnične in organizacijske varnostne ukrepe ob upoštevanju tveganj, ki so povezana z obdelavo podatkov, ter narave, obsega, okoliščin in namenov obdelave zadevnih osebnih podatkov. Namen tega je, da se po potrebi zagotovi naslednje:</w:t>
      </w:r>
    </w:p>
    <w:p w14:paraId="68FC2D9E" w14:textId="77777777" w:rsidR="008203F2" w:rsidRPr="001C2768" w:rsidRDefault="008203F2" w:rsidP="001C2768">
      <w:pPr>
        <w:spacing w:after="0"/>
        <w:rPr>
          <w:szCs w:val="24"/>
        </w:rPr>
      </w:pPr>
    </w:p>
    <w:p w14:paraId="7ABEF93D" w14:textId="26D61167" w:rsidR="00BE76FA" w:rsidRDefault="00BE76FA" w:rsidP="001C2768">
      <w:pPr>
        <w:numPr>
          <w:ilvl w:val="0"/>
          <w:numId w:val="134"/>
        </w:numPr>
        <w:spacing w:after="0" w:line="240" w:lineRule="auto"/>
        <w:jc w:val="both"/>
      </w:pPr>
      <w:r>
        <w:t>psevdonimizacija in šifriranje osebnih podatkov;</w:t>
      </w:r>
    </w:p>
    <w:p w14:paraId="2D6EEC61" w14:textId="77777777" w:rsidR="008203F2" w:rsidRPr="00345713" w:rsidRDefault="008203F2" w:rsidP="001C2768">
      <w:pPr>
        <w:spacing w:after="0" w:line="240" w:lineRule="auto"/>
        <w:ind w:left="720"/>
        <w:jc w:val="both"/>
      </w:pPr>
    </w:p>
    <w:p w14:paraId="6204C25B" w14:textId="6B3C8A5F" w:rsidR="00BE76FA" w:rsidRDefault="00BE76FA" w:rsidP="001C2768">
      <w:pPr>
        <w:numPr>
          <w:ilvl w:val="0"/>
          <w:numId w:val="134"/>
        </w:numPr>
        <w:spacing w:after="0" w:line="240" w:lineRule="auto"/>
        <w:jc w:val="both"/>
      </w:pPr>
      <w:r>
        <w:t>zmožnost zagotoviti stalno zaupnost, celovitost, dostopnost in odpornost sistemov in storitev za obdelavo;</w:t>
      </w:r>
    </w:p>
    <w:p w14:paraId="136F00E2" w14:textId="77777777" w:rsidR="008203F2" w:rsidRDefault="008203F2" w:rsidP="001C2768">
      <w:pPr>
        <w:spacing w:after="0" w:line="240" w:lineRule="auto"/>
        <w:ind w:left="720"/>
        <w:jc w:val="both"/>
      </w:pPr>
    </w:p>
    <w:p w14:paraId="5A0EEF59" w14:textId="35CB9276" w:rsidR="00BE76FA" w:rsidRDefault="00BE76FA" w:rsidP="00347E55">
      <w:pPr>
        <w:numPr>
          <w:ilvl w:val="0"/>
          <w:numId w:val="134"/>
        </w:numPr>
        <w:spacing w:after="0" w:line="240" w:lineRule="auto"/>
        <w:jc w:val="both"/>
      </w:pPr>
      <w:r>
        <w:t>zmožnost pravočasno povrniti razpoložljivost in dostop do osebnih podatkov v primeru fizičnega ali tehničnega incidenta;</w:t>
      </w:r>
    </w:p>
    <w:p w14:paraId="2481A80F" w14:textId="77777777" w:rsidR="008203F2" w:rsidRPr="001C2768" w:rsidRDefault="008203F2" w:rsidP="001C2768">
      <w:pPr>
        <w:spacing w:after="0" w:line="240" w:lineRule="auto"/>
        <w:ind w:left="720"/>
        <w:jc w:val="both"/>
      </w:pPr>
    </w:p>
    <w:p w14:paraId="676D3576" w14:textId="77777777" w:rsidR="00347E55" w:rsidRDefault="00BE76FA" w:rsidP="0013424F">
      <w:pPr>
        <w:pStyle w:val="ListParagraph"/>
        <w:numPr>
          <w:ilvl w:val="0"/>
          <w:numId w:val="134"/>
        </w:numPr>
        <w:spacing w:after="0"/>
        <w:jc w:val="both"/>
      </w:pPr>
      <w:r>
        <w:t>postopek rednega testiranja, ocenjevanja in vrednotenja učinkovitosti tehničnih in organizacijskih ukrepov za zagotavljanje varnosti obdelave;</w:t>
      </w:r>
    </w:p>
    <w:p w14:paraId="1C634E85" w14:textId="77777777" w:rsidR="002C5FCC" w:rsidRDefault="002C5FCC" w:rsidP="002C5FCC">
      <w:pPr>
        <w:pStyle w:val="ListParagraph"/>
        <w:spacing w:after="0"/>
      </w:pPr>
    </w:p>
    <w:p w14:paraId="33B63250" w14:textId="758F7AB4" w:rsidR="002C5FCC" w:rsidRPr="001C2768" w:rsidRDefault="002C5FCC" w:rsidP="0013424F">
      <w:pPr>
        <w:pStyle w:val="ListParagraph"/>
        <w:numPr>
          <w:ilvl w:val="0"/>
          <w:numId w:val="134"/>
        </w:numPr>
        <w:spacing w:after="0"/>
        <w:jc w:val="both"/>
      </w:pPr>
      <w:r>
        <w:t>ukrepi za zaščito osebnih podatkov pred nenamernim ali nezakonitim uničenjem, izgubo, spremembo, nepooblaščenim razkritjem ali dostopom do osebnih podatkov, ki so poslani, shranjeni ali kako drugače obdelani.</w:t>
      </w:r>
    </w:p>
    <w:p w14:paraId="3BBB8BBD" w14:textId="1BF13CD1" w:rsidR="00D30E81" w:rsidRPr="001A04C2" w:rsidRDefault="00351830" w:rsidP="00797757">
      <w:pPr>
        <w:pStyle w:val="Heading2"/>
        <w:spacing w:before="100" w:beforeAutospacing="1" w:after="100" w:afterAutospacing="1"/>
      </w:pPr>
      <w:bookmarkStart w:id="42" w:name="_Toc441250833"/>
      <w:bookmarkStart w:id="43" w:name="_Toc1637172"/>
      <w:bookmarkStart w:id="44" w:name="_Toc30751959"/>
      <w:r>
        <w:t>ČLEN II.8 – PREPOZNAVNOST FINANCIRANJA UNIJE</w:t>
      </w:r>
      <w:bookmarkEnd w:id="42"/>
      <w:bookmarkEnd w:id="43"/>
      <w:bookmarkEnd w:id="44"/>
    </w:p>
    <w:p w14:paraId="3BBB8BBE" w14:textId="77777777" w:rsidR="00D30E81" w:rsidRPr="00D06D68" w:rsidRDefault="00D30E81" w:rsidP="00797757">
      <w:pPr>
        <w:pStyle w:val="Heading3"/>
        <w:spacing w:before="100" w:beforeAutospacing="1" w:after="100" w:afterAutospacing="1"/>
      </w:pPr>
      <w:bookmarkStart w:id="45" w:name="_Toc441250834"/>
      <w:bookmarkStart w:id="46" w:name="_Toc1637173"/>
      <w:bookmarkStart w:id="47" w:name="_Toc30751960"/>
      <w:r>
        <w:t>II.8.1</w:t>
      </w:r>
      <w:r>
        <w:tab/>
        <w:t>Informacije o financiranju Unije in uporabi simbola Evropske unije</w:t>
      </w:r>
      <w:bookmarkEnd w:id="45"/>
      <w:bookmarkEnd w:id="46"/>
      <w:bookmarkEnd w:id="47"/>
    </w:p>
    <w:p w14:paraId="3BBB8BBF" w14:textId="77777777" w:rsidR="00D30E81" w:rsidRPr="004264AF" w:rsidRDefault="00D30E81" w:rsidP="001C2768">
      <w:pPr>
        <w:spacing w:before="100" w:beforeAutospacing="1" w:after="0" w:line="240" w:lineRule="auto"/>
        <w:jc w:val="both"/>
        <w:rPr>
          <w:szCs w:val="24"/>
        </w:rPr>
      </w:pPr>
      <w:r>
        <w:t xml:space="preserve">Razen če Komisija ne zahteva ali soglaša drugače, je treba v vseh sporočilih ali objavah v zvezi z </w:t>
      </w:r>
      <w:r>
        <w:rPr>
          <w:i/>
        </w:rPr>
        <w:t>ukrepom</w:t>
      </w:r>
      <w:r>
        <w:t>, ki jih pripravi oziroma izda upravičenec, vključno s sporočili ali objavami na konferencah, seminarjih ali v kakršnem koli promocijskem gradivu (kot so brošure, letaki, plakati, predstavitve, v elektronski obliki itd.):</w:t>
      </w:r>
    </w:p>
    <w:p w14:paraId="3BBB8BC0" w14:textId="77777777" w:rsidR="00D30E81" w:rsidRPr="004264AF" w:rsidRDefault="00D30E81" w:rsidP="001C2768">
      <w:pPr>
        <w:numPr>
          <w:ilvl w:val="0"/>
          <w:numId w:val="47"/>
        </w:numPr>
        <w:spacing w:after="100" w:afterAutospacing="1" w:line="240" w:lineRule="auto"/>
        <w:ind w:left="851" w:hanging="567"/>
        <w:jc w:val="both"/>
        <w:rPr>
          <w:szCs w:val="24"/>
        </w:rPr>
      </w:pPr>
      <w:r>
        <w:t xml:space="preserve">navesti, da so bila za </w:t>
      </w:r>
      <w:r>
        <w:rPr>
          <w:i/>
        </w:rPr>
        <w:t>ukrep</w:t>
      </w:r>
      <w:r>
        <w:t xml:space="preserve"> prejeta finančna sredstva Unije in</w:t>
      </w:r>
    </w:p>
    <w:p w14:paraId="3BBB8BC1" w14:textId="77777777" w:rsidR="00D30E81" w:rsidRDefault="00D30E81" w:rsidP="00DB645C">
      <w:pPr>
        <w:numPr>
          <w:ilvl w:val="0"/>
          <w:numId w:val="47"/>
        </w:numPr>
        <w:spacing w:before="100" w:beforeAutospacing="1" w:after="100" w:afterAutospacing="1" w:line="240" w:lineRule="auto"/>
        <w:ind w:left="851" w:hanging="567"/>
        <w:jc w:val="both"/>
        <w:rPr>
          <w:szCs w:val="24"/>
        </w:rPr>
      </w:pPr>
      <w:r>
        <w:t>prikazati simbol Evropske unije.</w:t>
      </w:r>
    </w:p>
    <w:p w14:paraId="3BBB8BC3" w14:textId="77777777" w:rsidR="00D30E81" w:rsidRPr="004264AF" w:rsidRDefault="00D30E81" w:rsidP="00797757">
      <w:pPr>
        <w:spacing w:before="100" w:beforeAutospacing="1" w:after="100" w:afterAutospacing="1" w:line="240" w:lineRule="auto"/>
        <w:jc w:val="both"/>
        <w:rPr>
          <w:szCs w:val="24"/>
        </w:rPr>
      </w:pPr>
      <w:r>
        <w:t>Kadar je simbol Evropske unije prikazan skupaj z drugim logotipom, mora biti ustrezno poudarjen.</w:t>
      </w:r>
    </w:p>
    <w:p w14:paraId="3BBB8BC4" w14:textId="77777777" w:rsidR="00D30E81" w:rsidRPr="004264AF" w:rsidRDefault="00D30E81" w:rsidP="00797757">
      <w:pPr>
        <w:spacing w:before="100" w:beforeAutospacing="1" w:after="100" w:afterAutospacing="1" w:line="240" w:lineRule="auto"/>
        <w:jc w:val="both"/>
        <w:rPr>
          <w:szCs w:val="24"/>
        </w:rPr>
      </w:pPr>
      <w:r>
        <w:t>Obveznost prikaza simbola Evropske unije upravičencu ne podeljuje pravice izključne uporabe. Upravičenec si ne sme prilastiti simbola Evropske unije ali katere koli druge podobne blagovne znamke ali logotipa, bodisi z registracijo ali drugače.</w:t>
      </w:r>
    </w:p>
    <w:p w14:paraId="3BBB8BC5" w14:textId="77777777" w:rsidR="00D30E81" w:rsidRPr="004264AF" w:rsidRDefault="00D30E81" w:rsidP="00797757">
      <w:pPr>
        <w:spacing w:before="100" w:beforeAutospacing="1" w:after="100" w:afterAutospacing="1" w:line="240" w:lineRule="auto"/>
        <w:jc w:val="both"/>
        <w:rPr>
          <w:szCs w:val="24"/>
        </w:rPr>
      </w:pPr>
      <w:r>
        <w:t>Za namene prvega, drugega in tretjega pododstavka in pod pogoji, določenimi v njih, lahko upravičenec uporabi simbol Evropske unije, ne da bi pred tem pridobil odobritev Komisije.</w:t>
      </w:r>
    </w:p>
    <w:p w14:paraId="3BBB8BC6" w14:textId="77777777" w:rsidR="00D30E81" w:rsidRPr="00D06D68" w:rsidRDefault="00D30E81" w:rsidP="00797757">
      <w:pPr>
        <w:pStyle w:val="Heading3"/>
        <w:spacing w:before="100" w:beforeAutospacing="1" w:after="100" w:afterAutospacing="1"/>
      </w:pPr>
      <w:bookmarkStart w:id="48" w:name="_Toc441250835"/>
      <w:bookmarkStart w:id="49" w:name="_Toc1637174"/>
      <w:bookmarkStart w:id="50" w:name="_Toc30751961"/>
      <w:r>
        <w:t>II.8.2</w:t>
      </w:r>
      <w:r>
        <w:tab/>
        <w:t>Izjava o izključitvi odgovornosti Komisije</w:t>
      </w:r>
      <w:bookmarkEnd w:id="48"/>
      <w:bookmarkEnd w:id="49"/>
      <w:bookmarkEnd w:id="50"/>
    </w:p>
    <w:p w14:paraId="3BBB8BC7" w14:textId="77777777" w:rsidR="00D30E81" w:rsidRPr="004264AF" w:rsidRDefault="00D30E81" w:rsidP="001C2768">
      <w:pPr>
        <w:spacing w:before="100" w:beforeAutospacing="1" w:after="0" w:line="240" w:lineRule="auto"/>
        <w:jc w:val="both"/>
        <w:rPr>
          <w:szCs w:val="24"/>
        </w:rPr>
      </w:pPr>
      <w:r>
        <w:t xml:space="preserve">V vseh sporočilih ali objavah v zvezi z </w:t>
      </w:r>
      <w:r>
        <w:rPr>
          <w:i/>
        </w:rPr>
        <w:t>ukrepom</w:t>
      </w:r>
      <w:r>
        <w:t>, ki jih pripravi oziroma objavi upravičenec, v kakršni koli obliki in s kakršnim koli sredstvom, je treba navesti:</w:t>
      </w:r>
    </w:p>
    <w:p w14:paraId="3BBB8BC8" w14:textId="77777777" w:rsidR="00D30E81" w:rsidRPr="004264AF" w:rsidRDefault="00D30E81" w:rsidP="001C2768">
      <w:pPr>
        <w:numPr>
          <w:ilvl w:val="0"/>
          <w:numId w:val="48"/>
        </w:numPr>
        <w:spacing w:after="100" w:afterAutospacing="1" w:line="240" w:lineRule="auto"/>
        <w:ind w:left="851" w:hanging="567"/>
        <w:jc w:val="both"/>
        <w:rPr>
          <w:szCs w:val="24"/>
        </w:rPr>
      </w:pPr>
      <w:r>
        <w:t>da sporočilo oziroma objava odraža samo stališča avtorja in</w:t>
      </w:r>
    </w:p>
    <w:p w14:paraId="3BBB8BC9" w14:textId="77777777" w:rsidR="00D30E81" w:rsidRPr="004264AF" w:rsidRDefault="00D30E81" w:rsidP="001C2768">
      <w:pPr>
        <w:numPr>
          <w:ilvl w:val="0"/>
          <w:numId w:val="48"/>
        </w:numPr>
        <w:spacing w:before="100" w:beforeAutospacing="1" w:after="0" w:line="240" w:lineRule="auto"/>
        <w:ind w:left="851" w:hanging="567"/>
        <w:jc w:val="both"/>
        <w:rPr>
          <w:szCs w:val="24"/>
        </w:rPr>
      </w:pPr>
      <w:r>
        <w:t>da Komisija ni odgovorna za kakršno koli uporabo informacij, ki jih vsebuje zadevno sporočilo ali objava.</w:t>
      </w:r>
    </w:p>
    <w:p w14:paraId="3BBB8BCA" w14:textId="563B8C14" w:rsidR="00D30E81" w:rsidRPr="001A04C2" w:rsidRDefault="00351830" w:rsidP="00797757">
      <w:pPr>
        <w:pStyle w:val="Heading2"/>
        <w:spacing w:before="100" w:beforeAutospacing="1" w:after="100" w:afterAutospacing="1"/>
      </w:pPr>
      <w:bookmarkStart w:id="51" w:name="_Toc441250836"/>
      <w:bookmarkStart w:id="52" w:name="_Toc1637175"/>
      <w:bookmarkStart w:id="53" w:name="_Toc30751962"/>
      <w:r>
        <w:t>ČLEN II.9 – PREDHODNO OBSTOJEČE PRAVICE IN LASTNIŠTVO TER UPORABA REZULTATOV (VKLJUČNO S PRAVICAMI INTELEKTUALNE IN INDUSTRIJSKE LASTNINE)</w:t>
      </w:r>
      <w:bookmarkEnd w:id="51"/>
      <w:bookmarkEnd w:id="52"/>
      <w:bookmarkEnd w:id="53"/>
    </w:p>
    <w:p w14:paraId="3BBB8BCB" w14:textId="77777777" w:rsidR="00D30E81" w:rsidRPr="00D06D68" w:rsidRDefault="00D30E81" w:rsidP="00797757">
      <w:pPr>
        <w:pStyle w:val="Heading3"/>
        <w:spacing w:before="100" w:beforeAutospacing="1" w:after="100" w:afterAutospacing="1"/>
      </w:pPr>
      <w:bookmarkStart w:id="54" w:name="_Toc441250837"/>
      <w:bookmarkStart w:id="55" w:name="_Toc1637176"/>
      <w:bookmarkStart w:id="56" w:name="_Toc30751963"/>
      <w:r>
        <w:t>II.9.1</w:t>
      </w:r>
      <w:r>
        <w:tab/>
        <w:t xml:space="preserve">Lastništvo rezultatov s strani </w:t>
      </w:r>
      <w:bookmarkEnd w:id="54"/>
      <w:r>
        <w:t>upravičenca</w:t>
      </w:r>
      <w:bookmarkEnd w:id="55"/>
      <w:bookmarkEnd w:id="56"/>
    </w:p>
    <w:p w14:paraId="3BBB8BCC" w14:textId="77777777" w:rsidR="00D30E81" w:rsidRPr="004264AF" w:rsidRDefault="00D30E81" w:rsidP="00797757">
      <w:pPr>
        <w:spacing w:before="100" w:beforeAutospacing="1" w:after="100" w:afterAutospacing="1" w:line="240" w:lineRule="auto"/>
        <w:jc w:val="both"/>
        <w:rPr>
          <w:szCs w:val="24"/>
        </w:rPr>
      </w:pPr>
      <w:r>
        <w:t xml:space="preserve">Upravičenec obdrži lastništvo rezultatov </w:t>
      </w:r>
      <w:r>
        <w:rPr>
          <w:i/>
        </w:rPr>
        <w:t>ukrepa</w:t>
      </w:r>
      <w:r>
        <w:t>, vključno s pravicami industrijske in intelektualne lastnine, ter poročil in ostalih dokumentov v zvezi z njim, razen če sporazum ne določa drugače.</w:t>
      </w:r>
    </w:p>
    <w:p w14:paraId="3BBB8BCD" w14:textId="77777777" w:rsidR="00D30E81" w:rsidRPr="00D06D68" w:rsidRDefault="00D30E81" w:rsidP="00797757">
      <w:pPr>
        <w:pStyle w:val="Heading3"/>
        <w:spacing w:before="100" w:beforeAutospacing="1" w:after="100" w:afterAutospacing="1"/>
      </w:pPr>
      <w:bookmarkStart w:id="57" w:name="_Toc441250838"/>
      <w:bookmarkStart w:id="58" w:name="_Toc1637177"/>
      <w:bookmarkStart w:id="59" w:name="_Toc30751964"/>
      <w:r>
        <w:t>II.9.2</w:t>
      </w:r>
      <w:r>
        <w:tab/>
        <w:t>Predhodno obstoječe pravice</w:t>
      </w:r>
      <w:bookmarkEnd w:id="57"/>
      <w:bookmarkEnd w:id="58"/>
      <w:bookmarkEnd w:id="59"/>
    </w:p>
    <w:p w14:paraId="3BBB8BCE" w14:textId="77777777" w:rsidR="00D30E81" w:rsidRPr="004264AF" w:rsidRDefault="00D30E81" w:rsidP="001C2768">
      <w:pPr>
        <w:spacing w:before="100" w:beforeAutospacing="1" w:after="0" w:line="240" w:lineRule="auto"/>
        <w:jc w:val="both"/>
        <w:rPr>
          <w:szCs w:val="24"/>
        </w:rPr>
      </w:pPr>
      <w:r>
        <w:t xml:space="preserve">Če Komisija upravičencu pošlje pisni zahtevek, v katerem je določeno, katere rezultate </w:t>
      </w:r>
      <w:r>
        <w:rPr>
          <w:color w:val="000000"/>
        </w:rPr>
        <w:t>namerava uporabiti,</w:t>
      </w:r>
      <w:r>
        <w:t xml:space="preserve"> mora upravičenec:</w:t>
      </w:r>
    </w:p>
    <w:p w14:paraId="3BBB8BCF" w14:textId="77777777" w:rsidR="00D30E81" w:rsidRPr="004264AF" w:rsidRDefault="00D30E81" w:rsidP="001C2768">
      <w:pPr>
        <w:numPr>
          <w:ilvl w:val="0"/>
          <w:numId w:val="49"/>
        </w:numPr>
        <w:spacing w:after="100" w:afterAutospacing="1" w:line="240" w:lineRule="auto"/>
        <w:ind w:left="851" w:hanging="567"/>
        <w:jc w:val="both"/>
        <w:rPr>
          <w:szCs w:val="24"/>
        </w:rPr>
      </w:pPr>
      <w:r>
        <w:t xml:space="preserve">sestaviti seznam, na katerem opredeli vse </w:t>
      </w:r>
      <w:r>
        <w:rPr>
          <w:i/>
        </w:rPr>
        <w:t>predhodno obstoječe pravice</w:t>
      </w:r>
      <w:r>
        <w:t>, vključene v navedene rezultate, in</w:t>
      </w:r>
    </w:p>
    <w:p w14:paraId="3BBB8BD0" w14:textId="77777777" w:rsidR="00D30E81" w:rsidRPr="004264AF" w:rsidRDefault="00D30E81" w:rsidP="006E2D0E">
      <w:pPr>
        <w:numPr>
          <w:ilvl w:val="0"/>
          <w:numId w:val="49"/>
        </w:numPr>
        <w:spacing w:before="100" w:beforeAutospacing="1" w:after="100" w:afterAutospacing="1" w:line="240" w:lineRule="auto"/>
        <w:ind w:left="851" w:hanging="567"/>
        <w:jc w:val="both"/>
        <w:rPr>
          <w:szCs w:val="24"/>
        </w:rPr>
      </w:pPr>
      <w:r>
        <w:t>ta seznam predložiti Komisiji najpozneje ob zahtevku za plačilo razlike.</w:t>
      </w:r>
    </w:p>
    <w:p w14:paraId="3BBB8BD1" w14:textId="77777777" w:rsidR="00D30E81" w:rsidRPr="004264AF" w:rsidRDefault="00D30E81" w:rsidP="00797757">
      <w:pPr>
        <w:spacing w:before="100" w:beforeAutospacing="1" w:after="100" w:afterAutospacing="1" w:line="240" w:lineRule="auto"/>
        <w:jc w:val="both"/>
        <w:rPr>
          <w:szCs w:val="24"/>
        </w:rPr>
      </w:pPr>
      <w:r>
        <w:t xml:space="preserve">Upravičenec mora zagotoviti, da ima sam ali njegovi povezani subjekti vse pravice uporabe katerih koli </w:t>
      </w:r>
      <w:r>
        <w:rPr>
          <w:i/>
        </w:rPr>
        <w:t>predhodno obstoječih pravic</w:t>
      </w:r>
      <w:r>
        <w:t xml:space="preserve"> med izvajanjem sporazuma.</w:t>
      </w:r>
    </w:p>
    <w:p w14:paraId="3BBB8BD2" w14:textId="77777777" w:rsidR="00D30E81" w:rsidRPr="00D06D68" w:rsidRDefault="00D30E81" w:rsidP="00797757">
      <w:pPr>
        <w:pStyle w:val="Heading3"/>
        <w:spacing w:before="100" w:beforeAutospacing="1" w:after="100" w:afterAutospacing="1"/>
      </w:pPr>
      <w:bookmarkStart w:id="60" w:name="_Toc441250839"/>
      <w:bookmarkStart w:id="61" w:name="_Toc1637178"/>
      <w:bookmarkStart w:id="62" w:name="_Toc30751965"/>
      <w:r>
        <w:t>II.9.3</w:t>
      </w:r>
      <w:r>
        <w:tab/>
        <w:t>Pravice uporabe rezultatov in predhodno obstoječih pravic s strani Unije</w:t>
      </w:r>
      <w:bookmarkEnd w:id="60"/>
      <w:bookmarkEnd w:id="61"/>
      <w:bookmarkEnd w:id="62"/>
    </w:p>
    <w:p w14:paraId="3BBB8BD3" w14:textId="77777777" w:rsidR="00D30E81" w:rsidRPr="004264AF" w:rsidRDefault="00D30E81" w:rsidP="001C2768">
      <w:pPr>
        <w:spacing w:before="100" w:beforeAutospacing="1" w:after="0" w:line="240" w:lineRule="auto"/>
        <w:jc w:val="both"/>
        <w:rPr>
          <w:i/>
          <w:szCs w:val="24"/>
        </w:rPr>
      </w:pPr>
      <w:r>
        <w:t xml:space="preserve">Upravičenec Uniji podeli pravice uporabe rezultatov </w:t>
      </w:r>
      <w:r>
        <w:rPr>
          <w:i/>
        </w:rPr>
        <w:t>ukrepa</w:t>
      </w:r>
      <w:r>
        <w:t>, kot sledi:</w:t>
      </w:r>
    </w:p>
    <w:p w14:paraId="3BBB8BD4" w14:textId="77777777" w:rsidR="00D30E81" w:rsidRPr="004264AF" w:rsidRDefault="00D30E81" w:rsidP="001C2768">
      <w:pPr>
        <w:adjustRightInd w:val="0"/>
        <w:spacing w:after="0" w:line="240" w:lineRule="auto"/>
        <w:ind w:left="851" w:hanging="567"/>
        <w:jc w:val="both"/>
        <w:rPr>
          <w:i/>
          <w:szCs w:val="24"/>
        </w:rPr>
      </w:pPr>
      <w:r>
        <w:t>(a)</w:t>
      </w:r>
      <w:r>
        <w:tab/>
        <w:t>za lastne namene in zlasti dajanje na razpolago osebam, ki delajo za Komisijo, drugim institucijam, agencijam in organom Unije ter institucijam držav članic, ter za kopiranje in reproduciranje celote ali delov v neomejenem številu izvodov;</w:t>
      </w:r>
    </w:p>
    <w:p w14:paraId="3BBB8BD5" w14:textId="77777777" w:rsidR="00D30E81" w:rsidRPr="004264AF" w:rsidRDefault="00D30E81" w:rsidP="001C2768">
      <w:pPr>
        <w:adjustRightInd w:val="0"/>
        <w:spacing w:after="0" w:line="240" w:lineRule="auto"/>
        <w:ind w:left="851" w:hanging="567"/>
        <w:jc w:val="both"/>
        <w:rPr>
          <w:i/>
          <w:szCs w:val="24"/>
        </w:rPr>
      </w:pPr>
      <w:r>
        <w:t>(b)</w:t>
      </w:r>
      <w:r>
        <w:tab/>
        <w:t>reproduciranje: pravico, da dovoli neposredno ali posredno, začasno ali stalno reproduciranje rezultatov v celoti ali delno na kakršen koli način (mehansko, digitalno ali kako drugače) in v kakršni koli obliki;</w:t>
      </w:r>
    </w:p>
    <w:p w14:paraId="3BBB8BD6" w14:textId="77777777" w:rsidR="00D30E81" w:rsidRPr="004264AF" w:rsidRDefault="00D30E81" w:rsidP="001C2768">
      <w:pPr>
        <w:adjustRightInd w:val="0"/>
        <w:spacing w:after="0" w:line="240" w:lineRule="auto"/>
        <w:ind w:left="851" w:hanging="567"/>
        <w:jc w:val="both"/>
        <w:rPr>
          <w:i/>
          <w:szCs w:val="24"/>
        </w:rPr>
      </w:pPr>
      <w:r>
        <w:t>(c)</w:t>
      </w:r>
      <w:r>
        <w:tab/>
        <w:t>obveščanje javnosti: pravico, da prek žične ali brezžične povezave dovoli prikaz uspešnosti ali sporočil javnosti, pri čemer da javnosti na razpolago rezultate tako, da lahko vsak posameznik do njih dostopa z mesta in ob času po lastni izbiri; ta pravica vključuje tudi sporočanje in predvajanje prek kabla ali satelita;</w:t>
      </w:r>
    </w:p>
    <w:p w14:paraId="3BBB8BD7" w14:textId="77777777" w:rsidR="00D30E81" w:rsidRPr="004264AF" w:rsidRDefault="00D30E81" w:rsidP="001C2768">
      <w:pPr>
        <w:adjustRightInd w:val="0"/>
        <w:spacing w:after="0" w:line="240" w:lineRule="auto"/>
        <w:ind w:left="851" w:hanging="567"/>
        <w:jc w:val="both"/>
        <w:rPr>
          <w:szCs w:val="24"/>
        </w:rPr>
      </w:pPr>
      <w:r>
        <w:t>(d)</w:t>
      </w:r>
      <w:r>
        <w:tab/>
        <w:t>razširjanje: pravico, da dovoli katero koli obliko javnega razširjanja rezultatov ali kopij rezultatov;</w:t>
      </w:r>
    </w:p>
    <w:p w14:paraId="3BBB8BD8" w14:textId="77777777" w:rsidR="00D30E81" w:rsidRPr="004264AF" w:rsidRDefault="00D30E81" w:rsidP="001C2768">
      <w:pPr>
        <w:adjustRightInd w:val="0"/>
        <w:spacing w:after="0" w:line="240" w:lineRule="auto"/>
        <w:ind w:left="851" w:hanging="567"/>
        <w:jc w:val="both"/>
        <w:rPr>
          <w:szCs w:val="24"/>
        </w:rPr>
      </w:pPr>
      <w:r>
        <w:t>(e)</w:t>
      </w:r>
      <w:r>
        <w:tab/>
        <w:t>prilagajanje: pravico do spreminjanja rezultatov;</w:t>
      </w:r>
    </w:p>
    <w:p w14:paraId="3BBB8BD9" w14:textId="77777777" w:rsidR="00D30E81" w:rsidRPr="004264AF" w:rsidRDefault="00D30E81" w:rsidP="001C2768">
      <w:pPr>
        <w:adjustRightInd w:val="0"/>
        <w:spacing w:after="0" w:line="240" w:lineRule="auto"/>
        <w:ind w:left="851" w:hanging="567"/>
        <w:jc w:val="both"/>
        <w:rPr>
          <w:szCs w:val="24"/>
        </w:rPr>
      </w:pPr>
      <w:r>
        <w:t>(f)</w:t>
      </w:r>
      <w:r>
        <w:tab/>
        <w:t>prevajanje;</w:t>
      </w:r>
    </w:p>
    <w:p w14:paraId="3BBB8BDA" w14:textId="77777777" w:rsidR="00D30E81" w:rsidRPr="004264AF" w:rsidRDefault="00D30E81" w:rsidP="001C2768">
      <w:pPr>
        <w:adjustRightInd w:val="0"/>
        <w:spacing w:after="0" w:line="240" w:lineRule="auto"/>
        <w:ind w:left="851" w:hanging="567"/>
        <w:jc w:val="both"/>
        <w:rPr>
          <w:szCs w:val="24"/>
        </w:rPr>
      </w:pPr>
      <w:r>
        <w:t>(g)</w:t>
      </w:r>
      <w:r>
        <w:tab/>
        <w:t xml:space="preserve">pravico do hrambe in arhiviranja rezultatov v skladu s pravili za upravljanje dokumentov, ki veljajo za Komisijo, vključno z digitalizacijo ali pretvorbo oblike za namene ohranitve ali nove uporabe;  </w:t>
      </w:r>
    </w:p>
    <w:p w14:paraId="3BBB8BDB" w14:textId="77777777" w:rsidR="00D30E81" w:rsidRPr="004264AF" w:rsidRDefault="00D30E81" w:rsidP="001C2768">
      <w:pPr>
        <w:adjustRightInd w:val="0"/>
        <w:spacing w:after="0" w:line="240" w:lineRule="auto"/>
        <w:ind w:left="851" w:hanging="567"/>
        <w:jc w:val="both"/>
        <w:rPr>
          <w:szCs w:val="24"/>
        </w:rPr>
      </w:pPr>
      <w:r>
        <w:t>(h)</w:t>
      </w:r>
      <w:r>
        <w:tab/>
        <w:t>kadar so rezultati dokumenti, pravico do odobritve ponovne uporabe dokumentov v skladu s Sklepom Komisije 2011/833/EU z dne 12. decembra 2011 o ponovni uporabi dokumentov Komisije, če se navedeni sklep uporablja in če dokumenti spadajo na področje njegove uporabe ter jih nobena od njegovih določb ne izključuje. Zaradi te določbe imata izraza „ponovna uporaba“ in „dokument“ pomen iz Sklepa 2011/833/EU.</w:t>
      </w:r>
    </w:p>
    <w:p w14:paraId="3BBB8BDC" w14:textId="77777777" w:rsidR="00D30E81" w:rsidRPr="004264AF" w:rsidRDefault="00D30E81" w:rsidP="00797757">
      <w:pPr>
        <w:spacing w:before="100" w:beforeAutospacing="1" w:after="100" w:afterAutospacing="1" w:line="240" w:lineRule="auto"/>
        <w:jc w:val="both"/>
        <w:rPr>
          <w:szCs w:val="24"/>
        </w:rPr>
      </w:pPr>
      <w:r>
        <w:t>Zgoraj navedene pravice uporabe se lahko nadalje določijo v posebnih pogojih.</w:t>
      </w:r>
    </w:p>
    <w:p w14:paraId="3BBB8BDD" w14:textId="77777777" w:rsidR="00D30E81" w:rsidRPr="004264AF" w:rsidRDefault="00D30E81" w:rsidP="00797757">
      <w:pPr>
        <w:spacing w:before="100" w:beforeAutospacing="1" w:after="100" w:afterAutospacing="1" w:line="240" w:lineRule="auto"/>
        <w:jc w:val="both"/>
        <w:rPr>
          <w:szCs w:val="24"/>
        </w:rPr>
      </w:pPr>
      <w:r>
        <w:t>Dodatne pravice uporabe se lahko Uniji zagotovijo v posebnih pogojih.</w:t>
      </w:r>
    </w:p>
    <w:p w14:paraId="3BBB8BDE" w14:textId="77777777" w:rsidR="00D30E81" w:rsidRPr="004264AF" w:rsidRDefault="00D30E81" w:rsidP="00797757">
      <w:pPr>
        <w:spacing w:before="100" w:beforeAutospacing="1" w:after="100" w:afterAutospacing="1" w:line="240" w:lineRule="auto"/>
        <w:jc w:val="both"/>
        <w:rPr>
          <w:szCs w:val="24"/>
        </w:rPr>
      </w:pPr>
      <w:r>
        <w:t xml:space="preserve">Upravičenec mora zagotoviti, da ima Unija pravico uporabe vseh </w:t>
      </w:r>
      <w:r>
        <w:rPr>
          <w:i/>
        </w:rPr>
        <w:t>predhodno obstoječih pravic</w:t>
      </w:r>
      <w:r>
        <w:t xml:space="preserve">, ki so vključene v rezultate </w:t>
      </w:r>
      <w:r>
        <w:rPr>
          <w:i/>
        </w:rPr>
        <w:t>ukrepa</w:t>
      </w:r>
      <w:r>
        <w:t xml:space="preserve">. Če ni drugače določeno v posebnih pogojih, je treba </w:t>
      </w:r>
      <w:r>
        <w:rPr>
          <w:i/>
        </w:rPr>
        <w:t>predhodno obstoječe pravice</w:t>
      </w:r>
      <w:r>
        <w:t xml:space="preserve"> uporabljati za enake namene in pod enakimi pogoji, kot se uporabljajo za pravice uporabe rezultatov </w:t>
      </w:r>
      <w:r>
        <w:rPr>
          <w:i/>
        </w:rPr>
        <w:t>ukrepa</w:t>
      </w:r>
      <w:r>
        <w:t>.</w:t>
      </w:r>
    </w:p>
    <w:p w14:paraId="3BBB8BDF" w14:textId="77777777" w:rsidR="00D30E81" w:rsidRPr="004264AF" w:rsidRDefault="00D30E81" w:rsidP="00797757">
      <w:pPr>
        <w:spacing w:before="100" w:beforeAutospacing="1" w:after="100" w:afterAutospacing="1" w:line="240" w:lineRule="auto"/>
        <w:jc w:val="both"/>
        <w:rPr>
          <w:szCs w:val="24"/>
        </w:rPr>
      </w:pPr>
      <w:r>
        <w:t>Informacije o lastniku avtorskih pravic je treba vstaviti v primerih, kadar rezultate razkrije Unija. Informacije o avtorskih pravicah se morajo glasiti: „© – leto – ime lastnika avtorskih pravic. Vse pravice pridržane. Licenca izdana Evropski uniji pod določenimi pogoji.“</w:t>
      </w:r>
    </w:p>
    <w:p w14:paraId="3BBB8BE0" w14:textId="3A6C198A" w:rsidR="00D30E81" w:rsidRPr="004264AF" w:rsidRDefault="00D30E81" w:rsidP="00797757">
      <w:pPr>
        <w:spacing w:before="100" w:beforeAutospacing="1" w:after="100" w:afterAutospacing="1" w:line="240" w:lineRule="auto"/>
        <w:jc w:val="both"/>
        <w:rPr>
          <w:szCs w:val="24"/>
        </w:rPr>
      </w:pPr>
      <w:r>
        <w:t>Če upravičenec Komisiji podeli pravice uporabe, to ne vpliva na njene obveznosti glede zaupnosti v skladu s členom II.6 ali na obveznosti upravičenca v skladu s členom II.2.</w:t>
      </w:r>
    </w:p>
    <w:p w14:paraId="3BBB8BE1" w14:textId="72475AA2" w:rsidR="00D30E81" w:rsidRPr="001A04C2" w:rsidRDefault="00351830" w:rsidP="00797757">
      <w:pPr>
        <w:pStyle w:val="Heading2"/>
        <w:spacing w:before="100" w:beforeAutospacing="1" w:after="100" w:afterAutospacing="1"/>
      </w:pPr>
      <w:bookmarkStart w:id="63" w:name="_Toc441250840"/>
      <w:bookmarkStart w:id="64" w:name="_Toc1637179"/>
      <w:bookmarkStart w:id="65" w:name="_Toc30751966"/>
      <w:r>
        <w:t>ČLEN II.10 – ODDAJA JAVNIH NAROČIL, POTREBNIH ZA IZVEDBO UKREPA</w:t>
      </w:r>
      <w:bookmarkEnd w:id="63"/>
      <w:bookmarkEnd w:id="64"/>
      <w:bookmarkEnd w:id="65"/>
    </w:p>
    <w:p w14:paraId="3BBB8BE2" w14:textId="2428E508" w:rsidR="00D30E81" w:rsidRPr="004264AF" w:rsidRDefault="00D30E81" w:rsidP="00797757">
      <w:pPr>
        <w:spacing w:before="100" w:beforeAutospacing="1" w:after="100" w:afterAutospacing="1" w:line="240" w:lineRule="auto"/>
        <w:ind w:left="709" w:hanging="709"/>
        <w:jc w:val="both"/>
        <w:rPr>
          <w:szCs w:val="24"/>
        </w:rPr>
      </w:pPr>
      <w:r>
        <w:rPr>
          <w:b/>
        </w:rPr>
        <w:t>II.10.1</w:t>
      </w:r>
      <w:r>
        <w:tab/>
        <w:t xml:space="preserve">Če je za izvajanje </w:t>
      </w:r>
      <w:r>
        <w:rPr>
          <w:i/>
        </w:rPr>
        <w:t>ukrepa</w:t>
      </w:r>
      <w:r>
        <w:t xml:space="preserve"> potrebno naročilo blaga, gradenj ali storitev, lahko upravičenec naročilo odda v skladu s svojimi običajnimi nabavnimi praksami, pod pogojem, da je naročilo oddano ponudniku, ki predloži najugodnejšo ponudbo ali, kadar je primerno, ponudniku, ki ponuja najnižjo ceno. Pri tem se mora izogibati kakršnemu koli </w:t>
      </w:r>
      <w:r>
        <w:rPr>
          <w:i/>
        </w:rPr>
        <w:t>navzkrižju interesov</w:t>
      </w:r>
      <w:r>
        <w:t>.</w:t>
      </w:r>
    </w:p>
    <w:p w14:paraId="3BBB8BE3" w14:textId="77777777" w:rsidR="00D30E81" w:rsidRPr="004264AF" w:rsidRDefault="00D30E81" w:rsidP="00797757">
      <w:pPr>
        <w:spacing w:before="100" w:beforeAutospacing="1" w:after="100" w:afterAutospacing="1" w:line="240" w:lineRule="auto"/>
        <w:ind w:left="709" w:hanging="709"/>
        <w:jc w:val="both"/>
        <w:rPr>
          <w:szCs w:val="24"/>
        </w:rPr>
      </w:pPr>
      <w:r>
        <w:tab/>
        <w:t>Upravičenec mora zagotoviti, da lahko Komisija, Evropsko računsko sodišče in Evropski urad za boj proti goljufijam (OLAF) svoje pravice iz člena II.27 uveljavljajo tudi pri izvajalcih upravičenca.</w:t>
      </w:r>
    </w:p>
    <w:p w14:paraId="3BBB8BE4" w14:textId="77777777" w:rsidR="00D30E81" w:rsidRPr="004264AF" w:rsidRDefault="00D30E81" w:rsidP="00797757">
      <w:pPr>
        <w:spacing w:before="100" w:beforeAutospacing="1" w:after="100" w:afterAutospacing="1" w:line="240" w:lineRule="auto"/>
        <w:ind w:left="709" w:hanging="709"/>
        <w:jc w:val="both"/>
        <w:rPr>
          <w:szCs w:val="24"/>
        </w:rPr>
      </w:pPr>
      <w:r>
        <w:rPr>
          <w:b/>
        </w:rPr>
        <w:t>II.10.2</w:t>
      </w:r>
      <w:r>
        <w:t xml:space="preserve"> Upravičenec, ki je „javni naročnik“ v smislu Direktive 2014/24/EU</w:t>
      </w:r>
      <w:r>
        <w:rPr>
          <w:rStyle w:val="FootnoteReference"/>
        </w:rPr>
        <w:footnoteReference w:id="2"/>
      </w:r>
      <w:r>
        <w:t xml:space="preserve"> ali „naročnik“ v smislu Direktive 2014/25/EU</w:t>
      </w:r>
      <w:r>
        <w:rPr>
          <w:rStyle w:val="FootnoteReference"/>
        </w:rPr>
        <w:footnoteReference w:id="3"/>
      </w:r>
      <w:r>
        <w:t xml:space="preserve">, mora spoštovati nacionalna pravila o javnem naročanju, ki se uporabljajo. </w:t>
      </w:r>
    </w:p>
    <w:p w14:paraId="3BBB8BE5" w14:textId="77777777" w:rsidR="00D30E81" w:rsidRPr="004264AF" w:rsidRDefault="00D30E81" w:rsidP="00797757">
      <w:pPr>
        <w:spacing w:before="100" w:beforeAutospacing="1" w:after="100" w:afterAutospacing="1" w:line="240" w:lineRule="auto"/>
        <w:ind w:left="709"/>
        <w:jc w:val="both"/>
        <w:rPr>
          <w:szCs w:val="24"/>
        </w:rPr>
      </w:pPr>
      <w:r>
        <w:t>Upravičenec mora zagotoviti, da se pogoji, ki se zanj uporabljajo v skladu s členi II.4, II.5, II.6 in II.9, uporabljajo tudi za izvajalce.</w:t>
      </w:r>
    </w:p>
    <w:p w14:paraId="3BBB8BE6" w14:textId="77777777" w:rsidR="00D30E81" w:rsidRPr="004264AF" w:rsidRDefault="00D30E81" w:rsidP="00797757">
      <w:pPr>
        <w:spacing w:before="100" w:beforeAutospacing="1" w:after="100" w:afterAutospacing="1" w:line="240" w:lineRule="auto"/>
        <w:ind w:left="709" w:hanging="709"/>
        <w:jc w:val="both"/>
        <w:rPr>
          <w:szCs w:val="24"/>
        </w:rPr>
      </w:pPr>
      <w:r>
        <w:rPr>
          <w:b/>
        </w:rPr>
        <w:t>II.10.3</w:t>
      </w:r>
      <w:r>
        <w:tab/>
        <w:t xml:space="preserve">Upravičenec je izključno odgovoren za izvedbo </w:t>
      </w:r>
      <w:r>
        <w:rPr>
          <w:i/>
        </w:rPr>
        <w:t>ukrepa</w:t>
      </w:r>
      <w:r>
        <w:t xml:space="preserve"> in izpolnjevanje sporazuma.  </w:t>
      </w:r>
    </w:p>
    <w:p w14:paraId="3BBB8BE7" w14:textId="7438533B" w:rsidR="00D30E81" w:rsidRPr="004264AF" w:rsidRDefault="00D30E81" w:rsidP="00797757">
      <w:pPr>
        <w:spacing w:before="100" w:beforeAutospacing="1" w:after="100" w:afterAutospacing="1" w:line="240" w:lineRule="auto"/>
        <w:ind w:left="709" w:hanging="709"/>
        <w:jc w:val="both"/>
        <w:rPr>
          <w:szCs w:val="24"/>
        </w:rPr>
      </w:pPr>
      <w:r>
        <w:rPr>
          <w:b/>
        </w:rPr>
        <w:t>II.10.4</w:t>
      </w:r>
      <w:r>
        <w:t>. Če upravičenec krši svoje obveznosti iz člena II.10.1, se stroški, povezani z zadevnim javnim naročilom, štejejo za neupravičene v skladu s členom II.19.2(c), (d) in (e).</w:t>
      </w:r>
    </w:p>
    <w:p w14:paraId="3BBB8BE8" w14:textId="77777777" w:rsidR="00D30E81" w:rsidRPr="004264AF" w:rsidRDefault="00D30E81" w:rsidP="00797757">
      <w:pPr>
        <w:spacing w:before="100" w:beforeAutospacing="1" w:after="100" w:afterAutospacing="1" w:line="240" w:lineRule="auto"/>
        <w:ind w:left="709" w:hanging="709"/>
        <w:jc w:val="both"/>
        <w:rPr>
          <w:szCs w:val="24"/>
        </w:rPr>
      </w:pPr>
      <w:r>
        <w:tab/>
        <w:t>Če upravičenec krši svoje obveznosti iz člena II.10.2, se nepovratna sredstva lahko znižajo v skladu s členom II.25.4.</w:t>
      </w:r>
    </w:p>
    <w:p w14:paraId="3BBB8BE9" w14:textId="2C15DD37" w:rsidR="00D30E81" w:rsidRPr="001A04C2" w:rsidRDefault="00351830" w:rsidP="00797757">
      <w:pPr>
        <w:pStyle w:val="Heading2"/>
        <w:spacing w:before="100" w:beforeAutospacing="1" w:after="100" w:afterAutospacing="1"/>
      </w:pPr>
      <w:bookmarkStart w:id="66" w:name="_Toc441250841"/>
      <w:bookmarkStart w:id="67" w:name="_Toc1637180"/>
      <w:bookmarkStart w:id="68" w:name="_Toc30751967"/>
      <w:r>
        <w:t>ČLEN II.11 – ODDAJANJE NALOG, KI SO DEL UKREPA, V IZVAJANJE PODIZVAJALCEM</w:t>
      </w:r>
      <w:bookmarkEnd w:id="66"/>
      <w:bookmarkEnd w:id="67"/>
      <w:bookmarkEnd w:id="68"/>
    </w:p>
    <w:p w14:paraId="3BBB8BEA" w14:textId="2FDDE7A2" w:rsidR="00D30E81" w:rsidRPr="004264AF" w:rsidRDefault="00D30E81" w:rsidP="001C2768">
      <w:pPr>
        <w:spacing w:before="100" w:beforeAutospacing="1" w:after="0" w:line="240" w:lineRule="auto"/>
        <w:ind w:left="851" w:hanging="851"/>
        <w:jc w:val="both"/>
        <w:rPr>
          <w:szCs w:val="24"/>
        </w:rPr>
      </w:pPr>
      <w:r>
        <w:rPr>
          <w:b/>
        </w:rPr>
        <w:t>II.11.1</w:t>
      </w:r>
      <w:r>
        <w:tab/>
        <w:t xml:space="preserve">Upravičenec lahko odda izvajanje nalog, ki so del </w:t>
      </w:r>
      <w:r>
        <w:rPr>
          <w:i/>
        </w:rPr>
        <w:t>ukrepa</w:t>
      </w:r>
      <w:r>
        <w:t>, podizvajalcem. V tem primeru mora zagotoviti, da se poleg pogojev iz člena II.10 spoštujejo tudi naslednji pogoji:</w:t>
      </w:r>
    </w:p>
    <w:p w14:paraId="3BBB8BEB" w14:textId="77777777" w:rsidR="00D30E81" w:rsidRPr="004264AF" w:rsidRDefault="00D30E81" w:rsidP="001C2768">
      <w:pPr>
        <w:numPr>
          <w:ilvl w:val="0"/>
          <w:numId w:val="50"/>
        </w:numPr>
        <w:spacing w:after="100" w:afterAutospacing="1" w:line="240" w:lineRule="auto"/>
        <w:ind w:left="1418" w:hanging="567"/>
        <w:jc w:val="both"/>
        <w:rPr>
          <w:szCs w:val="24"/>
        </w:rPr>
      </w:pPr>
      <w:r>
        <w:t xml:space="preserve">oddaja del podizvajalcem ne zajema osrednjih nalog </w:t>
      </w:r>
      <w:r>
        <w:rPr>
          <w:i/>
        </w:rPr>
        <w:t>ukrepa</w:t>
      </w:r>
      <w:r>
        <w:t>;</w:t>
      </w:r>
    </w:p>
    <w:p w14:paraId="3BBB8BEC" w14:textId="77777777" w:rsidR="00D30E81" w:rsidRPr="004264AF" w:rsidRDefault="00D30E81" w:rsidP="007F6A18">
      <w:pPr>
        <w:numPr>
          <w:ilvl w:val="0"/>
          <w:numId w:val="50"/>
        </w:numPr>
        <w:spacing w:before="100" w:beforeAutospacing="1" w:after="100" w:afterAutospacing="1" w:line="240" w:lineRule="auto"/>
        <w:ind w:left="1418" w:hanging="567"/>
        <w:jc w:val="both"/>
        <w:rPr>
          <w:szCs w:val="24"/>
        </w:rPr>
      </w:pPr>
      <w:r>
        <w:t xml:space="preserve">uporaba oddaje del podizvajalcem je upravičena zaradi narave </w:t>
      </w:r>
      <w:r>
        <w:rPr>
          <w:i/>
        </w:rPr>
        <w:t>ukrepa</w:t>
      </w:r>
      <w:r>
        <w:t xml:space="preserve"> in zahtev za njegovo izvedbo;</w:t>
      </w:r>
    </w:p>
    <w:p w14:paraId="3BBB8BED" w14:textId="0D2F5B2D" w:rsidR="00D30E81" w:rsidRPr="004264AF" w:rsidRDefault="00D30E81" w:rsidP="007F6A18">
      <w:pPr>
        <w:numPr>
          <w:ilvl w:val="0"/>
          <w:numId w:val="50"/>
        </w:numPr>
        <w:spacing w:before="100" w:beforeAutospacing="1" w:after="100" w:afterAutospacing="1" w:line="240" w:lineRule="auto"/>
        <w:ind w:left="1418" w:hanging="567"/>
        <w:jc w:val="both"/>
        <w:rPr>
          <w:szCs w:val="24"/>
        </w:rPr>
      </w:pPr>
      <w:r>
        <w:t>ocenjene stroške oddaje del podizvajalcem je mogoče jasno določiti v načrtu proračuna iz Priloge II;</w:t>
      </w:r>
    </w:p>
    <w:p w14:paraId="3BBB8BEE" w14:textId="77777777" w:rsidR="00D30E81" w:rsidRPr="004264AF" w:rsidRDefault="00D30E81" w:rsidP="001C2768">
      <w:pPr>
        <w:numPr>
          <w:ilvl w:val="0"/>
          <w:numId w:val="50"/>
        </w:numPr>
        <w:spacing w:before="100" w:beforeAutospacing="1" w:after="0" w:line="240" w:lineRule="auto"/>
        <w:ind w:left="1418" w:hanging="567"/>
        <w:jc w:val="both"/>
        <w:rPr>
          <w:szCs w:val="24"/>
        </w:rPr>
      </w:pPr>
      <w:r>
        <w:t>kakršna koli uporaba oddaje del podizvajalcem, ki ni določena v Prilogi I, se sporoči upravičencu, Komisija pa jo odobri. Komisija lahko odobritev podeli:</w:t>
      </w:r>
    </w:p>
    <w:p w14:paraId="3BBB8BEF" w14:textId="114231C1" w:rsidR="00D30E81" w:rsidRPr="004264AF" w:rsidRDefault="00D30E81" w:rsidP="001C2768">
      <w:pPr>
        <w:spacing w:after="0" w:line="240" w:lineRule="auto"/>
        <w:ind w:left="1985" w:hanging="567"/>
        <w:jc w:val="both"/>
        <w:rPr>
          <w:szCs w:val="24"/>
        </w:rPr>
      </w:pPr>
      <w:r>
        <w:t xml:space="preserve">(i) </w:t>
      </w:r>
      <w:r>
        <w:tab/>
        <w:t xml:space="preserve">pred kakršno koli uporabo oddaje del podizvajalcem, če upravičenec zahteva spremembo, kot je določeno v členu II.13, ali </w:t>
      </w:r>
    </w:p>
    <w:p w14:paraId="3BBB8BF0" w14:textId="337B6433" w:rsidR="00D30E81" w:rsidRPr="004264AF" w:rsidRDefault="00D30E81" w:rsidP="001C2768">
      <w:pPr>
        <w:spacing w:after="0" w:line="240" w:lineRule="auto"/>
        <w:ind w:left="1985" w:hanging="567"/>
        <w:jc w:val="both"/>
        <w:rPr>
          <w:szCs w:val="24"/>
        </w:rPr>
      </w:pPr>
      <w:r>
        <w:t xml:space="preserve">(ii) </w:t>
      </w:r>
      <w:r>
        <w:tab/>
        <w:t>po uporabi oddaje del podizvajalcem v naslednjih primerih:</w:t>
      </w:r>
    </w:p>
    <w:p w14:paraId="3BBB8BF1" w14:textId="1C4DFD0B" w:rsidR="00D30E81" w:rsidRPr="001C2768" w:rsidRDefault="00D30E81" w:rsidP="001C2768">
      <w:pPr>
        <w:pStyle w:val="ListParagraph"/>
        <w:numPr>
          <w:ilvl w:val="4"/>
          <w:numId w:val="123"/>
        </w:numPr>
        <w:spacing w:after="0" w:line="240" w:lineRule="auto"/>
        <w:ind w:left="2268" w:hanging="283"/>
        <w:jc w:val="both"/>
      </w:pPr>
      <w:r>
        <w:t>če je uporaba oddaje del podizvajalcem posebej utemeljena v vmesnem ali končnem tehničnem poročilu iz členov I.4.3 in I.4.4; ter</w:t>
      </w:r>
    </w:p>
    <w:p w14:paraId="3BBB8BF2" w14:textId="76F1434B" w:rsidR="00D30E81" w:rsidRPr="001C2768" w:rsidRDefault="00D30E81" w:rsidP="001C2768">
      <w:pPr>
        <w:pStyle w:val="ListParagraph"/>
        <w:numPr>
          <w:ilvl w:val="4"/>
          <w:numId w:val="123"/>
        </w:numPr>
        <w:spacing w:after="0" w:line="240" w:lineRule="auto"/>
        <w:ind w:left="2268" w:hanging="283"/>
        <w:jc w:val="both"/>
      </w:pPr>
      <w:r>
        <w:t>če uporaba oddaje del podizvajalcem ne zahteva sprememb sporazuma, ki bi vzbudile dvome o sklepu o dodelitvi nepovratnih sredstev ali ki bi kršile načelo enake obravnave vložnikov;</w:t>
      </w:r>
    </w:p>
    <w:p w14:paraId="3BBB8BF3" w14:textId="77777777" w:rsidR="00D30E81" w:rsidRPr="004264AF" w:rsidRDefault="00D30E81" w:rsidP="001C2768">
      <w:pPr>
        <w:numPr>
          <w:ilvl w:val="0"/>
          <w:numId w:val="50"/>
        </w:numPr>
        <w:spacing w:after="100" w:afterAutospacing="1" w:line="240" w:lineRule="auto"/>
        <w:ind w:left="1418" w:hanging="567"/>
        <w:jc w:val="both"/>
        <w:rPr>
          <w:szCs w:val="24"/>
        </w:rPr>
      </w:pPr>
      <w:r>
        <w:t>upravičenec zagotovi, da se pogoji, ki se uporabljajo zanj v skladu s členom II.8, uporabljajo tudi za podizvajalce.</w:t>
      </w:r>
    </w:p>
    <w:p w14:paraId="3BBB8BF4" w14:textId="09A29FC1" w:rsidR="00D30E81" w:rsidRPr="004264AF" w:rsidRDefault="00D30E81" w:rsidP="00797757">
      <w:pPr>
        <w:adjustRightInd w:val="0"/>
        <w:spacing w:before="100" w:beforeAutospacing="1" w:after="100" w:afterAutospacing="1" w:line="240" w:lineRule="auto"/>
        <w:ind w:left="709" w:hanging="709"/>
        <w:jc w:val="both"/>
        <w:rPr>
          <w:szCs w:val="24"/>
        </w:rPr>
      </w:pPr>
      <w:r>
        <w:rPr>
          <w:b/>
        </w:rPr>
        <w:t>II.11.2</w:t>
      </w:r>
      <w:r>
        <w:t xml:space="preserve"> Če upravičenec krši svoje obveznosti iz člena II.11.1(a), (b), (c) ali (d), se stroški, povezani z zadevnim javnim naročilom, štejejo za neupravičene v skladu s členom II.19.2(f).  </w:t>
      </w:r>
    </w:p>
    <w:p w14:paraId="3BBB8BF6" w14:textId="3ED76211" w:rsidR="00F95401" w:rsidRDefault="00D30E81" w:rsidP="00F52591">
      <w:pPr>
        <w:adjustRightInd w:val="0"/>
        <w:spacing w:before="100" w:beforeAutospacing="1" w:after="100" w:afterAutospacing="1" w:line="240" w:lineRule="auto"/>
        <w:ind w:left="709"/>
        <w:jc w:val="both"/>
        <w:rPr>
          <w:szCs w:val="24"/>
        </w:rPr>
      </w:pPr>
      <w:r>
        <w:t>Če upravičenec krši svojo obveznost iz člena II.11.1(e), se nepovratna sredstva lahko znižajo v skladu s členom II.25.4.</w:t>
      </w:r>
    </w:p>
    <w:p w14:paraId="3BBB8BF8" w14:textId="67D9ED6E" w:rsidR="00D30E81" w:rsidRPr="001A04C2" w:rsidRDefault="00351830" w:rsidP="00797757">
      <w:pPr>
        <w:pStyle w:val="Heading2"/>
        <w:spacing w:before="100" w:beforeAutospacing="1" w:after="100" w:afterAutospacing="1"/>
      </w:pPr>
      <w:bookmarkStart w:id="69" w:name="_Toc441250842"/>
      <w:bookmarkStart w:id="70" w:name="_Toc1637181"/>
      <w:bookmarkStart w:id="71" w:name="_Toc30751968"/>
      <w:r>
        <w:t>ČLEN II.12 – FINANČNA PODPORA TRETJIM OSEBAM</w:t>
      </w:r>
      <w:bookmarkEnd w:id="69"/>
      <w:bookmarkEnd w:id="70"/>
      <w:bookmarkEnd w:id="71"/>
    </w:p>
    <w:p w14:paraId="3BBB8BF9" w14:textId="49C86ECE" w:rsidR="00D30E81" w:rsidRPr="004264AF" w:rsidRDefault="00D30E81" w:rsidP="001C2768">
      <w:pPr>
        <w:spacing w:before="100" w:beforeAutospacing="1" w:after="0" w:line="240" w:lineRule="auto"/>
        <w:ind w:left="851" w:hanging="851"/>
        <w:jc w:val="both"/>
        <w:rPr>
          <w:szCs w:val="24"/>
        </w:rPr>
      </w:pPr>
      <w:r>
        <w:rPr>
          <w:b/>
        </w:rPr>
        <w:t>II.12.1</w:t>
      </w:r>
      <w:r>
        <w:tab/>
        <w:t xml:space="preserve">Če mora upravičenec med izvajanjem </w:t>
      </w:r>
      <w:r>
        <w:rPr>
          <w:i/>
        </w:rPr>
        <w:t>ukrepa</w:t>
      </w:r>
      <w:r>
        <w:t xml:space="preserve"> zagotoviti finančno podporo tretjim osebam, jo mora dodeliti v skladu s pogoji, določenimi v Prilogi </w:t>
      </w:r>
      <w:r w:rsidR="00AE6D9E">
        <w:t>I</w:t>
      </w:r>
      <w:r>
        <w:t>I. Pod navedenimi pogoji je treba navesti vsaj naslednje informacije:</w:t>
      </w:r>
    </w:p>
    <w:p w14:paraId="3BBB8BFA" w14:textId="2ED0A965" w:rsidR="00D30E81" w:rsidRPr="004264AF" w:rsidRDefault="00D30E81" w:rsidP="001C2768">
      <w:pPr>
        <w:numPr>
          <w:ilvl w:val="0"/>
          <w:numId w:val="51"/>
        </w:numPr>
        <w:spacing w:after="100" w:afterAutospacing="1" w:line="240" w:lineRule="auto"/>
        <w:ind w:left="1418" w:hanging="567"/>
        <w:jc w:val="both"/>
        <w:rPr>
          <w:szCs w:val="24"/>
        </w:rPr>
      </w:pPr>
      <w:r>
        <w:t xml:space="preserve">najvišji znesek finančne podpore. Ta znesek ne sme presegati 60 000 EUR za posamezno tretjo osebo, razen kadar bi bilo doseganje cilja </w:t>
      </w:r>
      <w:r>
        <w:rPr>
          <w:i/>
        </w:rPr>
        <w:t>ukrepa</w:t>
      </w:r>
      <w:r>
        <w:t>, kot je naveden v Prilogi I, sicer nemogoče ali pretirano oteženo;</w:t>
      </w:r>
    </w:p>
    <w:p w14:paraId="3BBB8BFB" w14:textId="77777777" w:rsidR="00D30E81" w:rsidRPr="004264AF" w:rsidRDefault="00D30E81" w:rsidP="001C2768">
      <w:pPr>
        <w:numPr>
          <w:ilvl w:val="0"/>
          <w:numId w:val="51"/>
        </w:numPr>
        <w:spacing w:after="100" w:afterAutospacing="1" w:line="240" w:lineRule="auto"/>
        <w:ind w:left="1418" w:hanging="567"/>
        <w:jc w:val="both"/>
        <w:rPr>
          <w:szCs w:val="24"/>
        </w:rPr>
      </w:pPr>
      <w:r>
        <w:t>merila za določanje točnega zneska finančne podpore;</w:t>
      </w:r>
    </w:p>
    <w:p w14:paraId="3BBB8BFC" w14:textId="77777777" w:rsidR="00D30E81" w:rsidRPr="004264AF" w:rsidRDefault="00D30E81" w:rsidP="001C2768">
      <w:pPr>
        <w:numPr>
          <w:ilvl w:val="0"/>
          <w:numId w:val="51"/>
        </w:numPr>
        <w:spacing w:after="100" w:afterAutospacing="1" w:line="240" w:lineRule="auto"/>
        <w:ind w:left="1418" w:hanging="567"/>
        <w:jc w:val="both"/>
        <w:rPr>
          <w:szCs w:val="24"/>
        </w:rPr>
      </w:pPr>
      <w:r>
        <w:t>različne vrste dejavnosti, ki lahko prejmejo finančno podporo, na podlagi določenega seznama;</w:t>
      </w:r>
    </w:p>
    <w:p w14:paraId="3BBB8BFD" w14:textId="77777777" w:rsidR="00D30E81" w:rsidRPr="004264AF" w:rsidRDefault="00D30E81" w:rsidP="001C2768">
      <w:pPr>
        <w:numPr>
          <w:ilvl w:val="0"/>
          <w:numId w:val="51"/>
        </w:numPr>
        <w:spacing w:after="100" w:afterAutospacing="1" w:line="240" w:lineRule="auto"/>
        <w:ind w:left="1418" w:hanging="567"/>
        <w:jc w:val="both"/>
        <w:rPr>
          <w:szCs w:val="24"/>
        </w:rPr>
      </w:pPr>
      <w:r>
        <w:t>osebe ali kategorije oseb, ki lahko prejmejo finančno podporo;</w:t>
      </w:r>
    </w:p>
    <w:p w14:paraId="3BBB8BFE" w14:textId="77777777" w:rsidR="00D30E81" w:rsidRPr="004264AF" w:rsidRDefault="00D30E81" w:rsidP="001C2768">
      <w:pPr>
        <w:numPr>
          <w:ilvl w:val="0"/>
          <w:numId w:val="51"/>
        </w:numPr>
        <w:spacing w:after="100" w:afterAutospacing="1" w:line="240" w:lineRule="auto"/>
        <w:ind w:left="1418" w:hanging="567"/>
        <w:jc w:val="both"/>
        <w:rPr>
          <w:szCs w:val="24"/>
        </w:rPr>
      </w:pPr>
      <w:r>
        <w:t>merila za dodelitev finančne podpore.</w:t>
      </w:r>
    </w:p>
    <w:p w14:paraId="3BBB8BFF" w14:textId="66B6D4A0" w:rsidR="00D30E81" w:rsidRPr="004264AF" w:rsidRDefault="00D30E81" w:rsidP="001C2768">
      <w:pPr>
        <w:spacing w:before="100" w:beforeAutospacing="1" w:after="0" w:line="240" w:lineRule="auto"/>
        <w:ind w:left="851" w:hanging="851"/>
        <w:jc w:val="both"/>
        <w:rPr>
          <w:szCs w:val="24"/>
        </w:rPr>
      </w:pPr>
      <w:r>
        <w:rPr>
          <w:b/>
        </w:rPr>
        <w:t>II.12.2</w:t>
      </w:r>
      <w:r>
        <w:tab/>
        <w:t>Kot izjema od člena II.12.1, če je finančna podpora v obliki nagrade, mora upravičenec dodeliti tako finančno podporo v skladu s pogoji, določenimi v Prilogi </w:t>
      </w:r>
      <w:r w:rsidR="00AE6D9E">
        <w:t>I</w:t>
      </w:r>
      <w:r>
        <w:t>I. Pod navedenimi pogoji je treba navesti vsaj naslednje informacije:</w:t>
      </w:r>
    </w:p>
    <w:p w14:paraId="3BBB8C01" w14:textId="661A2254" w:rsidR="00D30E81" w:rsidRPr="004264AF" w:rsidRDefault="00D30E81" w:rsidP="001C2768">
      <w:pPr>
        <w:tabs>
          <w:tab w:val="left" w:pos="1418"/>
        </w:tabs>
        <w:adjustRightInd w:val="0"/>
        <w:spacing w:after="0" w:line="240" w:lineRule="auto"/>
        <w:ind w:left="1418" w:hanging="567"/>
        <w:jc w:val="both"/>
        <w:rPr>
          <w:szCs w:val="24"/>
        </w:rPr>
      </w:pPr>
      <w:r>
        <w:t xml:space="preserve">(a) </w:t>
      </w:r>
      <w:r>
        <w:tab/>
        <w:t>merila za upravičenost in dodelitev;</w:t>
      </w:r>
    </w:p>
    <w:p w14:paraId="3BBB8C02" w14:textId="13A3E4E2" w:rsidR="00D30E81" w:rsidRPr="004264AF" w:rsidRDefault="00D30E81" w:rsidP="001C2768">
      <w:pPr>
        <w:tabs>
          <w:tab w:val="left" w:pos="1418"/>
        </w:tabs>
        <w:adjustRightInd w:val="0"/>
        <w:spacing w:after="0" w:line="240" w:lineRule="auto"/>
        <w:ind w:left="1418" w:hanging="567"/>
        <w:jc w:val="both"/>
        <w:rPr>
          <w:szCs w:val="24"/>
        </w:rPr>
      </w:pPr>
      <w:r>
        <w:t xml:space="preserve">(b) </w:t>
      </w:r>
      <w:r>
        <w:tab/>
        <w:t>znesek nagrade;</w:t>
      </w:r>
    </w:p>
    <w:p w14:paraId="3BBB8C03" w14:textId="119068F4" w:rsidR="00D30E81" w:rsidRPr="004264AF" w:rsidRDefault="00D30E81" w:rsidP="001C2768">
      <w:pPr>
        <w:tabs>
          <w:tab w:val="left" w:pos="1418"/>
        </w:tabs>
        <w:adjustRightInd w:val="0"/>
        <w:spacing w:after="0" w:line="240" w:lineRule="auto"/>
        <w:ind w:left="1418" w:hanging="567"/>
        <w:jc w:val="both"/>
        <w:rPr>
          <w:szCs w:val="24"/>
        </w:rPr>
      </w:pPr>
      <w:r>
        <w:t xml:space="preserve">(c) </w:t>
      </w:r>
      <w:r>
        <w:tab/>
        <w:t>ureditve za izplačilo.</w:t>
      </w:r>
    </w:p>
    <w:p w14:paraId="3BBB8C04" w14:textId="77777777" w:rsidR="00D30E81" w:rsidRPr="004264AF" w:rsidRDefault="00D30E81" w:rsidP="00797757">
      <w:pPr>
        <w:spacing w:before="100" w:beforeAutospacing="1" w:after="100" w:afterAutospacing="1" w:line="240" w:lineRule="auto"/>
        <w:ind w:left="851" w:hanging="851"/>
        <w:jc w:val="both"/>
        <w:rPr>
          <w:szCs w:val="24"/>
        </w:rPr>
      </w:pPr>
      <w:r>
        <w:rPr>
          <w:b/>
        </w:rPr>
        <w:t>II.12.3</w:t>
      </w:r>
      <w:r>
        <w:tab/>
        <w:t>Upravičenec mora zagotoviti, da se pogoji, ki se uporabljajo zanj v skladu s členi II.4, II.5, II.6, II.8, II.9 in II.27, uporabljajo tudi za tretje osebe, ki prejemajo finančno podporo.</w:t>
      </w:r>
    </w:p>
    <w:p w14:paraId="3BBB8C05" w14:textId="2338EF5C" w:rsidR="00D30E81" w:rsidRPr="001A04C2" w:rsidRDefault="00351830" w:rsidP="00797757">
      <w:pPr>
        <w:pStyle w:val="Heading2"/>
        <w:spacing w:before="100" w:beforeAutospacing="1" w:after="100" w:afterAutospacing="1"/>
      </w:pPr>
      <w:bookmarkStart w:id="72" w:name="_Toc441250843"/>
      <w:bookmarkStart w:id="73" w:name="_Toc1637182"/>
      <w:bookmarkStart w:id="74" w:name="_Toc30751969"/>
      <w:r>
        <w:t>ČLEN II.13 – SPREMEMBE SPORAZUMA</w:t>
      </w:r>
      <w:bookmarkEnd w:id="72"/>
      <w:bookmarkEnd w:id="73"/>
      <w:bookmarkEnd w:id="74"/>
    </w:p>
    <w:p w14:paraId="3BBB8C07" w14:textId="77777777" w:rsidR="00D30E81" w:rsidRPr="004264AF" w:rsidRDefault="00D30E81" w:rsidP="00797757">
      <w:pPr>
        <w:spacing w:before="100" w:beforeAutospacing="1" w:after="100" w:afterAutospacing="1" w:line="240" w:lineRule="auto"/>
        <w:ind w:left="851" w:hanging="851"/>
        <w:jc w:val="both"/>
        <w:rPr>
          <w:szCs w:val="24"/>
        </w:rPr>
      </w:pPr>
      <w:r>
        <w:rPr>
          <w:b/>
        </w:rPr>
        <w:t>II.13.1</w:t>
      </w:r>
      <w:r>
        <w:tab/>
        <w:t>Vsako spremembo sporazuma je treba izvesti pisno.</w:t>
      </w:r>
    </w:p>
    <w:p w14:paraId="3BBB8C08" w14:textId="77777777" w:rsidR="00D30E81" w:rsidRPr="004264AF" w:rsidRDefault="00D30E81" w:rsidP="00797757">
      <w:pPr>
        <w:spacing w:before="100" w:beforeAutospacing="1" w:after="100" w:afterAutospacing="1" w:line="240" w:lineRule="auto"/>
        <w:ind w:left="851" w:hanging="851"/>
        <w:jc w:val="both"/>
        <w:rPr>
          <w:szCs w:val="24"/>
        </w:rPr>
      </w:pPr>
      <w:r>
        <w:rPr>
          <w:b/>
        </w:rPr>
        <w:t>II.13.2</w:t>
      </w:r>
      <w:r>
        <w:tab/>
        <w:t>Namen oziroma učinek sprememb ne smejo biti spremembe sporazuma, ki bi vzbudile dvom o sklepu o dodelitvi nepovratnih sredstev ali ki bi bile v nasprotju z načelom enake obravnave vložnikov za nepovratna sredstva.</w:t>
      </w:r>
    </w:p>
    <w:p w14:paraId="3BBB8C09" w14:textId="77777777" w:rsidR="00D30E81" w:rsidRPr="004264AF" w:rsidRDefault="00D30E81" w:rsidP="001C2768">
      <w:pPr>
        <w:spacing w:before="100" w:beforeAutospacing="1" w:after="0" w:line="240" w:lineRule="auto"/>
        <w:ind w:left="851" w:hanging="851"/>
        <w:jc w:val="both"/>
        <w:rPr>
          <w:szCs w:val="24"/>
        </w:rPr>
      </w:pPr>
      <w:r>
        <w:rPr>
          <w:b/>
        </w:rPr>
        <w:t>II.13.3</w:t>
      </w:r>
      <w:r>
        <w:tab/>
        <w:t>Vsak zahtevek za spremembo mora:</w:t>
      </w:r>
    </w:p>
    <w:p w14:paraId="3BBB8C0A" w14:textId="471E2A25" w:rsidR="00D30E81" w:rsidRPr="004264AF" w:rsidRDefault="00D30E81" w:rsidP="001C2768">
      <w:pPr>
        <w:numPr>
          <w:ilvl w:val="0"/>
          <w:numId w:val="52"/>
        </w:numPr>
        <w:spacing w:after="100" w:afterAutospacing="1" w:line="240" w:lineRule="auto"/>
        <w:ind w:left="1418" w:hanging="567"/>
        <w:jc w:val="both"/>
        <w:rPr>
          <w:szCs w:val="24"/>
        </w:rPr>
      </w:pPr>
      <w:r>
        <w:t>biti ustrezno utemeljen;</w:t>
      </w:r>
    </w:p>
    <w:p w14:paraId="3BBB8C0B"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t>imeti priložena ustrezna dokazila in</w:t>
      </w:r>
    </w:p>
    <w:p w14:paraId="3BBB8C0C"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t xml:space="preserve">biti poslan drugi stranki dovolj zgodaj pred predvidenim začetkom njegove veljavnosti, vsekakor pa en mesec pred koncem </w:t>
      </w:r>
      <w:r>
        <w:rPr>
          <w:i/>
        </w:rPr>
        <w:t>obdobja izvajanja</w:t>
      </w:r>
      <w:r>
        <w:t>.</w:t>
      </w:r>
    </w:p>
    <w:p w14:paraId="3BBB8C0D" w14:textId="77777777" w:rsidR="00D30E81" w:rsidRPr="004264AF" w:rsidRDefault="00D30E81" w:rsidP="00797757">
      <w:pPr>
        <w:spacing w:before="100" w:beforeAutospacing="1" w:after="100" w:afterAutospacing="1" w:line="240" w:lineRule="auto"/>
        <w:ind w:left="851"/>
        <w:jc w:val="both"/>
        <w:rPr>
          <w:szCs w:val="24"/>
        </w:rPr>
      </w:pPr>
      <w:r>
        <w:t>Točka (c) se ne uporablja v primerih, ki jih stranka, ki vlaga zahtevek za spremembo, ob strinjanju druge stranke ustrezno utemelji.</w:t>
      </w:r>
    </w:p>
    <w:p w14:paraId="3BBB8C0E" w14:textId="601C9374" w:rsidR="00D30E81" w:rsidRPr="004264AF" w:rsidRDefault="00D30E81" w:rsidP="00797757">
      <w:pPr>
        <w:spacing w:before="100" w:beforeAutospacing="1" w:after="100" w:afterAutospacing="1" w:line="240" w:lineRule="auto"/>
        <w:ind w:left="851" w:hanging="851"/>
        <w:jc w:val="both"/>
        <w:rPr>
          <w:szCs w:val="24"/>
        </w:rPr>
      </w:pPr>
      <w:r>
        <w:rPr>
          <w:b/>
        </w:rPr>
        <w:t>II.13.4</w:t>
      </w:r>
      <w:r>
        <w:tab/>
        <w:t>Pri nepovratnih sredstvih za poslovanje obdobja iz člena I.2.2 ni mogoče podaljšati s spremembami sporazuma.</w:t>
      </w:r>
    </w:p>
    <w:p w14:paraId="3BBB8C0F" w14:textId="77777777" w:rsidR="00D30E81" w:rsidRPr="004264AF" w:rsidRDefault="00D30E81" w:rsidP="00797757">
      <w:pPr>
        <w:spacing w:before="100" w:beforeAutospacing="1" w:after="100" w:afterAutospacing="1" w:line="240" w:lineRule="auto"/>
        <w:ind w:left="851" w:hanging="851"/>
        <w:jc w:val="both"/>
        <w:rPr>
          <w:szCs w:val="24"/>
        </w:rPr>
      </w:pPr>
      <w:r>
        <w:rPr>
          <w:b/>
        </w:rPr>
        <w:t>II.13.5</w:t>
      </w:r>
      <w:r>
        <w:tab/>
        <w:t>Spremembe začnejo veljati na datum podpisa zadnje stranke ali na datum odobritve zahtevka za spremembo.</w:t>
      </w:r>
    </w:p>
    <w:p w14:paraId="3BBB8C10" w14:textId="3AC0F09E" w:rsidR="00D30E81" w:rsidRPr="004264AF" w:rsidRDefault="00D30E81" w:rsidP="00797757">
      <w:pPr>
        <w:spacing w:before="100" w:beforeAutospacing="1" w:after="100" w:afterAutospacing="1" w:line="240" w:lineRule="auto"/>
        <w:ind w:left="851"/>
        <w:jc w:val="both"/>
        <w:rPr>
          <w:szCs w:val="24"/>
        </w:rPr>
      </w:pPr>
      <w:r>
        <w:t>Spremembe začnejo učinkovati na datum, o katerem se dogovorita stranki, ali, če tak datum ni dogovorjen, na datum, ko sprememba začne veljati.</w:t>
      </w:r>
    </w:p>
    <w:p w14:paraId="3BBB8C1D" w14:textId="77777777" w:rsidR="00D30E81" w:rsidRPr="001A04C2" w:rsidRDefault="00C03303" w:rsidP="00797757">
      <w:pPr>
        <w:pStyle w:val="Heading2"/>
        <w:spacing w:before="100" w:beforeAutospacing="1" w:after="100" w:afterAutospacing="1"/>
      </w:pPr>
      <w:bookmarkStart w:id="75" w:name="_Toc441250844"/>
      <w:bookmarkStart w:id="76" w:name="_Toc1637183"/>
      <w:bookmarkStart w:id="77" w:name="_Toc30751970"/>
      <w:r>
        <w:t>ČLEN II.14 – ODSTOP TERJATEV ZA IZPLAČILA TRETJIM OSEBAM</w:t>
      </w:r>
      <w:bookmarkEnd w:id="75"/>
      <w:bookmarkEnd w:id="76"/>
      <w:bookmarkEnd w:id="77"/>
    </w:p>
    <w:p w14:paraId="3BBB8C1E" w14:textId="77777777" w:rsidR="00D30E81" w:rsidRPr="004264AF" w:rsidRDefault="00D30E81" w:rsidP="00797757">
      <w:pPr>
        <w:spacing w:before="100" w:beforeAutospacing="1" w:after="100" w:afterAutospacing="1" w:line="240" w:lineRule="auto"/>
        <w:ind w:left="851" w:hanging="851"/>
        <w:jc w:val="both"/>
        <w:rPr>
          <w:szCs w:val="24"/>
        </w:rPr>
      </w:pPr>
      <w:r>
        <w:rPr>
          <w:b/>
        </w:rPr>
        <w:t>II.14.1</w:t>
      </w:r>
      <w:r>
        <w:tab/>
        <w:t>Upravičenec ne sme odstopiti terjatev za plačila od Komisije nobeni tretji osebi, razen če to Komisija odobri na podlagi utemeljene pisne zahteve upravičenca.</w:t>
      </w:r>
    </w:p>
    <w:p w14:paraId="3BBB8C1F" w14:textId="77777777" w:rsidR="00D30E81" w:rsidRPr="004264AF" w:rsidRDefault="00D30E81" w:rsidP="00797757">
      <w:pPr>
        <w:spacing w:before="100" w:beforeAutospacing="1" w:after="100" w:afterAutospacing="1" w:line="240" w:lineRule="auto"/>
        <w:ind w:left="851"/>
        <w:jc w:val="both"/>
        <w:rPr>
          <w:szCs w:val="24"/>
        </w:rPr>
      </w:pPr>
      <w:r>
        <w:t>Če Komisija odstopa ne sprejme ali če pogoji odstopa niso izpolnjeni, odstop nanjo ne vpliva.</w:t>
      </w:r>
    </w:p>
    <w:p w14:paraId="3BBB8C20" w14:textId="77777777" w:rsidR="00D30E81" w:rsidRPr="004264AF" w:rsidRDefault="00D30E81" w:rsidP="00797757">
      <w:pPr>
        <w:spacing w:before="100" w:beforeAutospacing="1" w:after="100" w:afterAutospacing="1" w:line="240" w:lineRule="auto"/>
        <w:ind w:left="851" w:hanging="851"/>
        <w:jc w:val="both"/>
        <w:rPr>
          <w:szCs w:val="24"/>
        </w:rPr>
      </w:pPr>
      <w:r>
        <w:rPr>
          <w:b/>
        </w:rPr>
        <w:t>II.14.2</w:t>
      </w:r>
      <w:r>
        <w:tab/>
        <w:t>Upravičenec zaradi takega odstopa v nobenem primeru ne sme biti oproščen svojih obveznosti do Komisije.</w:t>
      </w:r>
    </w:p>
    <w:p w14:paraId="3BBB8C21" w14:textId="39E7768E" w:rsidR="00D30E81" w:rsidRPr="001A04C2" w:rsidRDefault="00C03303" w:rsidP="00797757">
      <w:pPr>
        <w:pStyle w:val="Heading2"/>
        <w:spacing w:before="100" w:beforeAutospacing="1" w:after="100" w:afterAutospacing="1"/>
      </w:pPr>
      <w:bookmarkStart w:id="78" w:name="_Toc441250845"/>
      <w:bookmarkStart w:id="79" w:name="_Toc1637184"/>
      <w:bookmarkStart w:id="80" w:name="_Toc30751971"/>
      <w:r>
        <w:t>ČLEN II.15 – VIŠJA SILA</w:t>
      </w:r>
      <w:bookmarkEnd w:id="78"/>
      <w:bookmarkEnd w:id="79"/>
      <w:bookmarkEnd w:id="80"/>
    </w:p>
    <w:p w14:paraId="3BBB8C22" w14:textId="77777777" w:rsidR="00D30E81" w:rsidRPr="004264AF" w:rsidRDefault="00D30E81" w:rsidP="00797757">
      <w:pPr>
        <w:spacing w:before="100" w:beforeAutospacing="1" w:after="100" w:afterAutospacing="1" w:line="240" w:lineRule="auto"/>
        <w:ind w:left="851" w:hanging="851"/>
        <w:jc w:val="both"/>
        <w:rPr>
          <w:szCs w:val="24"/>
        </w:rPr>
      </w:pPr>
      <w:r>
        <w:rPr>
          <w:b/>
        </w:rPr>
        <w:t>II.15.1</w:t>
      </w:r>
      <w:r>
        <w:tab/>
        <w:t xml:space="preserve">Stranka, pri kateri nastopi </w:t>
      </w:r>
      <w:r>
        <w:rPr>
          <w:i/>
        </w:rPr>
        <w:t>višja sila</w:t>
      </w:r>
      <w:r>
        <w:t xml:space="preserve">, mora drugi stranki nemudoma poslati </w:t>
      </w:r>
      <w:r>
        <w:rPr>
          <w:i/>
        </w:rPr>
        <w:t>uradno obvestilo</w:t>
      </w:r>
      <w:r>
        <w:t>, pri čemer navede naravo okoliščine ali dogodka, verjetno trajanje in predvidene posledice.</w:t>
      </w:r>
    </w:p>
    <w:p w14:paraId="3BBB8C23" w14:textId="77777777" w:rsidR="00D30E81" w:rsidRPr="004264AF" w:rsidRDefault="00D30E81" w:rsidP="00797757">
      <w:pPr>
        <w:spacing w:before="100" w:beforeAutospacing="1" w:after="100" w:afterAutospacing="1" w:line="240" w:lineRule="auto"/>
        <w:ind w:left="851" w:hanging="851"/>
        <w:jc w:val="both"/>
        <w:rPr>
          <w:szCs w:val="24"/>
        </w:rPr>
      </w:pPr>
      <w:r>
        <w:rPr>
          <w:b/>
        </w:rPr>
        <w:t>II.15.2</w:t>
      </w:r>
      <w:r>
        <w:tab/>
        <w:t xml:space="preserve">Stranki morata sprejeti potrebne ukrepe, da čim bolj zmanjšata morebitno škodo zaradi </w:t>
      </w:r>
      <w:r>
        <w:rPr>
          <w:i/>
        </w:rPr>
        <w:t>višje sile</w:t>
      </w:r>
      <w:r>
        <w:t xml:space="preserve">. Po najboljših močeh zagotovita, da se izvajanje </w:t>
      </w:r>
      <w:r>
        <w:rPr>
          <w:i/>
        </w:rPr>
        <w:t>ukrepa</w:t>
      </w:r>
      <w:r>
        <w:t xml:space="preserve"> čim prej nadaljuje.</w:t>
      </w:r>
    </w:p>
    <w:p w14:paraId="3BBB8C24" w14:textId="77777777" w:rsidR="00D30E81" w:rsidRPr="004264AF" w:rsidRDefault="00D30E81" w:rsidP="00797757">
      <w:pPr>
        <w:spacing w:before="100" w:beforeAutospacing="1" w:after="100" w:afterAutospacing="1" w:line="240" w:lineRule="auto"/>
        <w:ind w:left="851" w:hanging="851"/>
        <w:jc w:val="both"/>
        <w:rPr>
          <w:szCs w:val="24"/>
        </w:rPr>
      </w:pPr>
      <w:r>
        <w:rPr>
          <w:b/>
        </w:rPr>
        <w:t>II.15.3</w:t>
      </w:r>
      <w:r>
        <w:tab/>
        <w:t xml:space="preserve">Za stranko, ki ji je izpolnjevanje obveznosti preprečila </w:t>
      </w:r>
      <w:r>
        <w:rPr>
          <w:i/>
        </w:rPr>
        <w:t>višja sila</w:t>
      </w:r>
      <w:r>
        <w:t>, se ne sme šteti, da je kršila svoje obveznosti na podlagi sporazuma.</w:t>
      </w:r>
    </w:p>
    <w:p w14:paraId="3BBB8C25" w14:textId="3FB6379C" w:rsidR="00D30E81" w:rsidRPr="001A04C2" w:rsidRDefault="00C03303" w:rsidP="00797757">
      <w:pPr>
        <w:pStyle w:val="Heading2"/>
        <w:spacing w:before="100" w:beforeAutospacing="1" w:after="100" w:afterAutospacing="1"/>
      </w:pPr>
      <w:bookmarkStart w:id="81" w:name="_Toc441250846"/>
      <w:bookmarkStart w:id="82" w:name="_Toc1637185"/>
      <w:bookmarkStart w:id="83" w:name="_Toc30751972"/>
      <w:r>
        <w:t>ČLEN II.16 – ZADRŽANJE IZVAJANJA UKREPA</w:t>
      </w:r>
      <w:bookmarkEnd w:id="81"/>
      <w:bookmarkEnd w:id="82"/>
      <w:bookmarkEnd w:id="83"/>
    </w:p>
    <w:p w14:paraId="3BBB8C26" w14:textId="77777777" w:rsidR="00D30E81" w:rsidRPr="00D06D68" w:rsidRDefault="00D30E81" w:rsidP="00797757">
      <w:pPr>
        <w:pStyle w:val="Heading3"/>
        <w:spacing w:before="100" w:beforeAutospacing="1" w:after="100" w:afterAutospacing="1"/>
      </w:pPr>
      <w:bookmarkStart w:id="84" w:name="_Toc441250847"/>
      <w:bookmarkStart w:id="85" w:name="_Toc1637186"/>
      <w:bookmarkStart w:id="86" w:name="_Toc30751973"/>
      <w:r>
        <w:t>II.16.1</w:t>
      </w:r>
      <w:r>
        <w:tab/>
        <w:t xml:space="preserve">Zadržanje izvajanja s strani </w:t>
      </w:r>
      <w:bookmarkEnd w:id="84"/>
      <w:r>
        <w:t>upravičenca</w:t>
      </w:r>
      <w:bookmarkEnd w:id="85"/>
      <w:bookmarkEnd w:id="86"/>
    </w:p>
    <w:p w14:paraId="3BBB8C27" w14:textId="25A1995A" w:rsidR="00D30E81" w:rsidRPr="004264AF" w:rsidRDefault="00D30E81" w:rsidP="00797757">
      <w:pPr>
        <w:spacing w:before="100" w:beforeAutospacing="1" w:after="100" w:afterAutospacing="1" w:line="240" w:lineRule="auto"/>
        <w:jc w:val="both"/>
        <w:rPr>
          <w:szCs w:val="24"/>
        </w:rPr>
      </w:pPr>
      <w:r>
        <w:t xml:space="preserve">Upravičenec lahko zadrži izvajanje </w:t>
      </w:r>
      <w:r>
        <w:rPr>
          <w:i/>
        </w:rPr>
        <w:t>ukrepa</w:t>
      </w:r>
      <w:r>
        <w:t xml:space="preserve"> ali katerega koli njegovega dela, če je izvajanje zaradi izjemnih okoliščin, zlasti v primeru </w:t>
      </w:r>
      <w:r>
        <w:rPr>
          <w:i/>
        </w:rPr>
        <w:t>višje sile</w:t>
      </w:r>
      <w:r>
        <w:t>, onemogočeno ali preveč oteženo.</w:t>
      </w:r>
    </w:p>
    <w:p w14:paraId="3BBB8C28" w14:textId="77777777" w:rsidR="00D30E81" w:rsidRPr="004264AF" w:rsidRDefault="00D30E81" w:rsidP="001C2768">
      <w:pPr>
        <w:spacing w:before="100" w:beforeAutospacing="1" w:after="0" w:line="240" w:lineRule="auto"/>
        <w:jc w:val="both"/>
        <w:rPr>
          <w:szCs w:val="24"/>
        </w:rPr>
      </w:pPr>
      <w:r>
        <w:t>Upravičenec mora o tem Komisijo nemudoma obvestiti, pri čemer navede:</w:t>
      </w:r>
    </w:p>
    <w:p w14:paraId="3BBB8C29" w14:textId="6CA4675E" w:rsidR="00D30E81" w:rsidRPr="004264AF" w:rsidRDefault="00D30E81" w:rsidP="001C2768">
      <w:pPr>
        <w:numPr>
          <w:ilvl w:val="0"/>
          <w:numId w:val="54"/>
        </w:numPr>
        <w:spacing w:after="100" w:afterAutospacing="1" w:line="240" w:lineRule="auto"/>
        <w:ind w:left="851" w:hanging="567"/>
        <w:jc w:val="both"/>
        <w:rPr>
          <w:szCs w:val="24"/>
        </w:rPr>
      </w:pPr>
      <w:r>
        <w:t>razloge za zadržanje, vključno s podrobnostmi o datumu ali obdobju, ko so se pojavile izjemne okoliščine, in</w:t>
      </w:r>
    </w:p>
    <w:p w14:paraId="3BBB8C2A" w14:textId="77777777" w:rsidR="00D30E81" w:rsidRPr="004264AF" w:rsidRDefault="00D30E81" w:rsidP="003035E1">
      <w:pPr>
        <w:numPr>
          <w:ilvl w:val="0"/>
          <w:numId w:val="54"/>
        </w:numPr>
        <w:spacing w:before="100" w:beforeAutospacing="1" w:after="100" w:afterAutospacing="1" w:line="240" w:lineRule="auto"/>
        <w:ind w:left="851" w:hanging="567"/>
        <w:jc w:val="both"/>
        <w:rPr>
          <w:szCs w:val="24"/>
        </w:rPr>
      </w:pPr>
      <w:r>
        <w:t>datum predvidenega ponovnega začetka izvajanja.</w:t>
      </w:r>
    </w:p>
    <w:p w14:paraId="3BBB8C2B" w14:textId="77777777" w:rsidR="00D30E81" w:rsidRPr="004264AF" w:rsidRDefault="00D30E81" w:rsidP="00797757">
      <w:pPr>
        <w:spacing w:before="100" w:beforeAutospacing="1" w:after="100" w:afterAutospacing="1" w:line="240" w:lineRule="auto"/>
        <w:jc w:val="both"/>
        <w:rPr>
          <w:szCs w:val="24"/>
        </w:rPr>
      </w:pPr>
      <w:r>
        <w:t xml:space="preserve">Ko okoliščine upravičencu dopuščajo, da nadaljuje izvajanje </w:t>
      </w:r>
      <w:r>
        <w:rPr>
          <w:i/>
        </w:rPr>
        <w:t>ukrepa</w:t>
      </w:r>
      <w:r>
        <w:t xml:space="preserve">, mora upravičenec nemudoma obvestiti Komisijo in predložiti zahtevek za spremembo sporazuma, kot je določeno v členu II.16.3. Ta obveznost se ne uporablja, če je sporazum odpovedan v skladu s členom II.17.1 ali točkama (b) ali (c) člena II.17.2.1.  </w:t>
      </w:r>
    </w:p>
    <w:p w14:paraId="3BBB8C2C" w14:textId="77777777" w:rsidR="00D30E81" w:rsidRPr="00D06D68" w:rsidRDefault="00D30E81" w:rsidP="00797757">
      <w:pPr>
        <w:pStyle w:val="Heading3"/>
        <w:spacing w:before="100" w:beforeAutospacing="1" w:after="100" w:afterAutospacing="1"/>
      </w:pPr>
      <w:bookmarkStart w:id="87" w:name="_Toc441250848"/>
      <w:bookmarkStart w:id="88" w:name="_Toc1637187"/>
      <w:bookmarkStart w:id="89" w:name="_Toc30751974"/>
      <w:r>
        <w:t>II.16.2</w:t>
      </w:r>
      <w:r>
        <w:tab/>
        <w:t>Zadržanje izvajanja s strani Komisije</w:t>
      </w:r>
      <w:bookmarkEnd w:id="87"/>
      <w:bookmarkEnd w:id="88"/>
      <w:bookmarkEnd w:id="89"/>
    </w:p>
    <w:p w14:paraId="3BBB8C2D" w14:textId="77777777" w:rsidR="00D30E81" w:rsidRPr="00D06D68" w:rsidRDefault="00D30E81" w:rsidP="00797757">
      <w:pPr>
        <w:pStyle w:val="Heading4"/>
        <w:spacing w:before="100" w:beforeAutospacing="1" w:after="100" w:afterAutospacing="1"/>
      </w:pPr>
      <w:r>
        <w:t>II.16.2.1 Razlogi za zadržanje</w:t>
      </w:r>
    </w:p>
    <w:p w14:paraId="3BBB8C2E" w14:textId="77777777" w:rsidR="00D30E81" w:rsidRPr="004264AF" w:rsidRDefault="00D30E81" w:rsidP="001C2768">
      <w:pPr>
        <w:tabs>
          <w:tab w:val="left" w:pos="1134"/>
        </w:tabs>
        <w:spacing w:before="100" w:beforeAutospacing="1" w:after="0" w:line="240" w:lineRule="auto"/>
        <w:ind w:left="1134" w:hanging="1134"/>
        <w:jc w:val="both"/>
        <w:rPr>
          <w:szCs w:val="24"/>
        </w:rPr>
      </w:pPr>
      <w:r>
        <w:t xml:space="preserve">Komisija lahko zadrži izvajanje </w:t>
      </w:r>
      <w:r>
        <w:rPr>
          <w:i/>
        </w:rPr>
        <w:t>ukrepa</w:t>
      </w:r>
      <w:r>
        <w:t xml:space="preserve"> ali katerega koli njegovega dela:</w:t>
      </w:r>
    </w:p>
    <w:p w14:paraId="3BBB8C2F" w14:textId="7C490EB9" w:rsidR="00D30E81" w:rsidRPr="004264AF" w:rsidRDefault="00D30E81" w:rsidP="001C2768">
      <w:pPr>
        <w:numPr>
          <w:ilvl w:val="0"/>
          <w:numId w:val="55"/>
        </w:numPr>
        <w:spacing w:after="100" w:afterAutospacing="1" w:line="240" w:lineRule="auto"/>
        <w:ind w:left="851" w:hanging="567"/>
        <w:jc w:val="both"/>
        <w:rPr>
          <w:szCs w:val="24"/>
        </w:rPr>
      </w:pPr>
      <w:r>
        <w:t xml:space="preserve">če ima dokaze, da je upravičenec storil </w:t>
      </w:r>
      <w:r>
        <w:rPr>
          <w:i/>
        </w:rPr>
        <w:t>nepravilnosti</w:t>
      </w:r>
      <w:r>
        <w:t xml:space="preserve">, </w:t>
      </w:r>
      <w:r>
        <w:rPr>
          <w:i/>
        </w:rPr>
        <w:t>goljufije</w:t>
      </w:r>
      <w:r>
        <w:t xml:space="preserve"> ali </w:t>
      </w:r>
      <w:r>
        <w:rPr>
          <w:i/>
        </w:rPr>
        <w:t>kršitve obveznosti</w:t>
      </w:r>
      <w:r>
        <w:t xml:space="preserve"> v postopku dodeljevanja ali pri izvajanju sporazuma;</w:t>
      </w:r>
    </w:p>
    <w:p w14:paraId="3BBB8C30" w14:textId="51F2FC16" w:rsidR="00D30E81" w:rsidRPr="004264AF" w:rsidRDefault="00D30E81" w:rsidP="00700900">
      <w:pPr>
        <w:numPr>
          <w:ilvl w:val="0"/>
          <w:numId w:val="55"/>
        </w:numPr>
        <w:spacing w:before="100" w:beforeAutospacing="1" w:after="100" w:afterAutospacing="1" w:line="240" w:lineRule="auto"/>
        <w:ind w:left="851" w:hanging="567"/>
        <w:jc w:val="both"/>
        <w:rPr>
          <w:szCs w:val="24"/>
        </w:rPr>
      </w:pPr>
      <w:r>
        <w:t xml:space="preserve">če ima dokaze, da je upravičenec storil sistemske ali ponavljajoče se </w:t>
      </w:r>
      <w:r>
        <w:rPr>
          <w:i/>
        </w:rPr>
        <w:t>nepravilnosti, goljufije</w:t>
      </w:r>
      <w:r>
        <w:t xml:space="preserve"> ali resne </w:t>
      </w:r>
      <w:r>
        <w:rPr>
          <w:i/>
        </w:rPr>
        <w:t>kršitve obveznosti</w:t>
      </w:r>
      <w:r>
        <w:t xml:space="preserve"> v zvezi z drugimi nepovratnimi sredstvi, ki jih zagotavlja Unija ali Evropska skupnost za atomsko energijo (Euratom) in ki so bila dodeljena upravičencu pod podobnimi pogoji, in če </w:t>
      </w:r>
      <w:r>
        <w:rPr>
          <w:i/>
        </w:rPr>
        <w:t>nepravilnosti, goljufije</w:t>
      </w:r>
      <w:r>
        <w:t xml:space="preserve"> ali </w:t>
      </w:r>
      <w:r>
        <w:rPr>
          <w:i/>
        </w:rPr>
        <w:t>kršitve obveznosti</w:t>
      </w:r>
      <w:r>
        <w:t xml:space="preserve"> znatno vplivajo na ta nepovratna sredstva; ali</w:t>
      </w:r>
    </w:p>
    <w:p w14:paraId="3BBB8C31" w14:textId="71BDC29D" w:rsidR="00D30E81" w:rsidRPr="004264AF" w:rsidRDefault="00D30E81" w:rsidP="00700900">
      <w:pPr>
        <w:numPr>
          <w:ilvl w:val="0"/>
          <w:numId w:val="55"/>
        </w:numPr>
        <w:spacing w:before="100" w:beforeAutospacing="1" w:after="100" w:afterAutospacing="1" w:line="240" w:lineRule="auto"/>
        <w:ind w:left="851" w:hanging="567"/>
        <w:jc w:val="both"/>
        <w:rPr>
          <w:szCs w:val="24"/>
        </w:rPr>
      </w:pPr>
      <w:r>
        <w:t xml:space="preserve">če sumi, da je upravičenec storil </w:t>
      </w:r>
      <w:r>
        <w:rPr>
          <w:i/>
        </w:rPr>
        <w:t>nepravilnosti, goljufije</w:t>
      </w:r>
      <w:r>
        <w:t xml:space="preserve"> ali </w:t>
      </w:r>
      <w:r>
        <w:rPr>
          <w:i/>
        </w:rPr>
        <w:t>kršitve obveznosti</w:t>
      </w:r>
      <w:r>
        <w:t xml:space="preserve"> v postopku dodeljevanja ali pri izvajanju sporazuma, in mora preveriti, ali so bile te dejansko storjene.</w:t>
      </w:r>
    </w:p>
    <w:p w14:paraId="3BBB8C32" w14:textId="77777777" w:rsidR="00D30E81" w:rsidRPr="00D06D68" w:rsidRDefault="00D30E81" w:rsidP="00797757">
      <w:pPr>
        <w:pStyle w:val="Heading4"/>
        <w:spacing w:before="100" w:beforeAutospacing="1" w:after="100" w:afterAutospacing="1"/>
      </w:pPr>
      <w:r>
        <w:t>II.16.2.2 Postopek za zadržanje</w:t>
      </w:r>
    </w:p>
    <w:p w14:paraId="3BBB8C33" w14:textId="17DFED16" w:rsidR="00D30E81" w:rsidRPr="004264AF" w:rsidRDefault="00D30E81" w:rsidP="001C2768">
      <w:pPr>
        <w:spacing w:before="100" w:beforeAutospacing="1" w:after="0" w:line="240" w:lineRule="auto"/>
        <w:jc w:val="both"/>
        <w:rPr>
          <w:szCs w:val="24"/>
        </w:rPr>
      </w:pPr>
      <w:r>
        <w:rPr>
          <w:b/>
        </w:rPr>
        <w:t>1. korak</w:t>
      </w:r>
      <w:r>
        <w:t xml:space="preserve"> – Preden Komisija zadrži izvajanje </w:t>
      </w:r>
      <w:r>
        <w:rPr>
          <w:i/>
        </w:rPr>
        <w:t>ukrepa</w:t>
      </w:r>
      <w:r>
        <w:t xml:space="preserve">, mora upravičencu poslati </w:t>
      </w:r>
      <w:r>
        <w:rPr>
          <w:i/>
        </w:rPr>
        <w:t>uradno obvestilo</w:t>
      </w:r>
      <w:r>
        <w:t>, v katerem ga</w:t>
      </w:r>
    </w:p>
    <w:p w14:paraId="3BBB8C34" w14:textId="77777777" w:rsidR="00D30E81" w:rsidRPr="004264AF" w:rsidRDefault="00D30E81" w:rsidP="001C2768">
      <w:pPr>
        <w:numPr>
          <w:ilvl w:val="0"/>
          <w:numId w:val="56"/>
        </w:numPr>
        <w:spacing w:after="0" w:line="240" w:lineRule="auto"/>
        <w:ind w:left="851" w:hanging="567"/>
        <w:jc w:val="both"/>
        <w:rPr>
          <w:szCs w:val="24"/>
        </w:rPr>
      </w:pPr>
      <w:r>
        <w:t>obvešča o:</w:t>
      </w:r>
    </w:p>
    <w:p w14:paraId="3BBB8C35" w14:textId="77777777" w:rsidR="00D30E81" w:rsidRPr="004264AF" w:rsidRDefault="00D30E81" w:rsidP="001C2768">
      <w:pPr>
        <w:numPr>
          <w:ilvl w:val="0"/>
          <w:numId w:val="57"/>
        </w:numPr>
        <w:spacing w:after="100" w:afterAutospacing="1" w:line="240" w:lineRule="auto"/>
        <w:ind w:left="1418" w:hanging="567"/>
        <w:jc w:val="both"/>
        <w:rPr>
          <w:szCs w:val="24"/>
        </w:rPr>
      </w:pPr>
      <w:r>
        <w:t>svoji nameri, da zadrži izvajanje;</w:t>
      </w:r>
    </w:p>
    <w:p w14:paraId="3BBB8C36" w14:textId="77777777" w:rsidR="00D30E81" w:rsidRPr="004264AF" w:rsidRDefault="00D30E81" w:rsidP="00700900">
      <w:pPr>
        <w:numPr>
          <w:ilvl w:val="0"/>
          <w:numId w:val="57"/>
        </w:numPr>
        <w:spacing w:before="100" w:beforeAutospacing="1" w:after="100" w:afterAutospacing="1" w:line="240" w:lineRule="auto"/>
        <w:ind w:left="1418" w:hanging="567"/>
        <w:jc w:val="both"/>
        <w:rPr>
          <w:szCs w:val="24"/>
        </w:rPr>
      </w:pPr>
      <w:r>
        <w:t>razlogih za zadržanje;</w:t>
      </w:r>
    </w:p>
    <w:p w14:paraId="3BBB8C37" w14:textId="77777777" w:rsidR="00D30E81" w:rsidRPr="004264AF" w:rsidRDefault="00D30E81" w:rsidP="001C2768">
      <w:pPr>
        <w:numPr>
          <w:ilvl w:val="0"/>
          <w:numId w:val="57"/>
        </w:numPr>
        <w:spacing w:before="100" w:beforeAutospacing="1" w:after="0" w:line="240" w:lineRule="auto"/>
        <w:ind w:left="1418" w:hanging="567"/>
        <w:jc w:val="both"/>
        <w:rPr>
          <w:szCs w:val="24"/>
        </w:rPr>
      </w:pPr>
      <w:r>
        <w:t>potrebnih pogojih za nadaljevanje izvajanja v primerih iz točk (a) in (b) člena II.16.2.1 in</w:t>
      </w:r>
    </w:p>
    <w:p w14:paraId="3BBB8C38" w14:textId="77777777" w:rsidR="00D30E81" w:rsidRPr="004264AF" w:rsidRDefault="00D30E81" w:rsidP="001C2768">
      <w:pPr>
        <w:numPr>
          <w:ilvl w:val="0"/>
          <w:numId w:val="56"/>
        </w:numPr>
        <w:spacing w:after="100" w:afterAutospacing="1" w:line="240" w:lineRule="auto"/>
        <w:ind w:left="851" w:hanging="567"/>
        <w:jc w:val="both"/>
        <w:rPr>
          <w:szCs w:val="24"/>
        </w:rPr>
      </w:pPr>
      <w:r>
        <w:t>poziva, naj predloži pripombe v 30 koledarskih dneh po prejemu uradnega obvestila.</w:t>
      </w:r>
    </w:p>
    <w:p w14:paraId="3BBB8C39" w14:textId="049715A0" w:rsidR="00D30E81" w:rsidRPr="004264AF" w:rsidRDefault="00D30E81" w:rsidP="001C2768">
      <w:pPr>
        <w:spacing w:before="100" w:beforeAutospacing="1" w:after="0" w:line="240" w:lineRule="auto"/>
        <w:jc w:val="both"/>
        <w:rPr>
          <w:szCs w:val="24"/>
        </w:rPr>
      </w:pPr>
      <w:r>
        <w:rPr>
          <w:b/>
        </w:rPr>
        <w:t>2. korak</w:t>
      </w:r>
      <w:r>
        <w:t xml:space="preserve"> – Če Komisija ne prejme pripomb ali sklene, da bo kljub prejetim pripombam nadaljevala postopek, mora upravičencu poslati </w:t>
      </w:r>
      <w:r>
        <w:rPr>
          <w:i/>
        </w:rPr>
        <w:t>uradno obvestilo</w:t>
      </w:r>
      <w:r>
        <w:t>, v katerem ga obvešča o:</w:t>
      </w:r>
    </w:p>
    <w:p w14:paraId="3BBB8C3A" w14:textId="77777777" w:rsidR="00D30E81" w:rsidRPr="004264AF" w:rsidRDefault="00D30E81" w:rsidP="001C2768">
      <w:pPr>
        <w:numPr>
          <w:ilvl w:val="0"/>
          <w:numId w:val="58"/>
        </w:numPr>
        <w:spacing w:after="100" w:afterAutospacing="1" w:line="240" w:lineRule="auto"/>
        <w:ind w:left="851" w:hanging="567"/>
        <w:jc w:val="both"/>
        <w:rPr>
          <w:szCs w:val="24"/>
        </w:rPr>
      </w:pPr>
      <w:r>
        <w:t>zadržanju izvajanja;</w:t>
      </w:r>
    </w:p>
    <w:p w14:paraId="3BBB8C3B"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t>razlogih za zadržanje; in</w:t>
      </w:r>
    </w:p>
    <w:p w14:paraId="3BBB8C3C"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t>končnih pogojih za nadaljevanje izvajanja v primerih iz točk (a) in (b) člena II.16.2.1; ali</w:t>
      </w:r>
    </w:p>
    <w:p w14:paraId="3BBB8C3D"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t>okvirnem datumu zaključka potrebnega preverjanja v primeru iz točke (c) člena II.16.2.1.</w:t>
      </w:r>
    </w:p>
    <w:p w14:paraId="3BBB8C3E" w14:textId="77777777" w:rsidR="00D30E81" w:rsidRPr="004264AF" w:rsidRDefault="00D30E81" w:rsidP="001C2768">
      <w:pPr>
        <w:spacing w:before="100" w:beforeAutospacing="1" w:after="100" w:afterAutospacing="1" w:line="240" w:lineRule="auto"/>
        <w:jc w:val="both"/>
        <w:rPr>
          <w:szCs w:val="24"/>
        </w:rPr>
      </w:pPr>
      <w:r>
        <w:t xml:space="preserve">Zadržanje izvajanja začne učinkovati na dan, ko upravičenec prejme </w:t>
      </w:r>
      <w:r>
        <w:rPr>
          <w:i/>
        </w:rPr>
        <w:t>uradno obvestilo</w:t>
      </w:r>
      <w:r>
        <w:t xml:space="preserve">, ali pozneje, kadar je tako določeno v </w:t>
      </w:r>
      <w:r>
        <w:rPr>
          <w:i/>
        </w:rPr>
        <w:t>uradnem obvestilu</w:t>
      </w:r>
      <w:r>
        <w:t>.</w:t>
      </w:r>
    </w:p>
    <w:p w14:paraId="3BBB8C3F" w14:textId="77777777" w:rsidR="00D30E81" w:rsidRPr="004264AF" w:rsidRDefault="00D30E81" w:rsidP="001C2768">
      <w:pPr>
        <w:spacing w:before="100" w:beforeAutospacing="1" w:after="100" w:afterAutospacing="1" w:line="240" w:lineRule="auto"/>
        <w:jc w:val="both"/>
        <w:rPr>
          <w:szCs w:val="24"/>
        </w:rPr>
      </w:pPr>
      <w:r>
        <w:t xml:space="preserve">Drugače mora Komisija upravičencu poslati </w:t>
      </w:r>
      <w:r>
        <w:rPr>
          <w:i/>
        </w:rPr>
        <w:t>uradno obvestilo</w:t>
      </w:r>
      <w:r>
        <w:t>, v katerem ga obvešča, da postopka za zadržanje ne bo nadaljevala.</w:t>
      </w:r>
    </w:p>
    <w:p w14:paraId="3BBB8C40" w14:textId="77777777" w:rsidR="00D30E81" w:rsidRPr="00D06D68" w:rsidRDefault="00D30E81" w:rsidP="00797757">
      <w:pPr>
        <w:pStyle w:val="Heading4"/>
        <w:spacing w:before="100" w:beforeAutospacing="1" w:after="100" w:afterAutospacing="1"/>
      </w:pPr>
      <w:r>
        <w:t>II.16.2.3 Nadaljevanje izvajanja</w:t>
      </w:r>
    </w:p>
    <w:p w14:paraId="3BBB8C41" w14:textId="77777777" w:rsidR="00D30E81" w:rsidRPr="004264AF" w:rsidRDefault="00D30E81" w:rsidP="00797757">
      <w:pPr>
        <w:spacing w:before="100" w:beforeAutospacing="1" w:after="100" w:afterAutospacing="1" w:line="240" w:lineRule="auto"/>
        <w:jc w:val="both"/>
        <w:rPr>
          <w:szCs w:val="24"/>
        </w:rPr>
      </w:pPr>
      <w:r>
        <w:t>Da bi se izvajanje nadaljevalo, mora upravičenec čim prej izpolniti zahtevane pogoje in o vsakem napredku obvestiti Komisijo.</w:t>
      </w:r>
    </w:p>
    <w:p w14:paraId="3BBB8C42" w14:textId="77777777" w:rsidR="00D30E81" w:rsidRPr="004264AF" w:rsidRDefault="00D30E81" w:rsidP="001C2768">
      <w:pPr>
        <w:spacing w:before="100" w:beforeAutospacing="1" w:after="0" w:line="240" w:lineRule="auto"/>
        <w:jc w:val="both"/>
        <w:rPr>
          <w:szCs w:val="24"/>
        </w:rPr>
      </w:pPr>
      <w:r>
        <w:t xml:space="preserve">Če so pogoji za nadaljevanje izvajanja izpolnjeni ali potrebna preverjanja opravljena, mora Komisija upravičencu poslati </w:t>
      </w:r>
      <w:r>
        <w:rPr>
          <w:i/>
        </w:rPr>
        <w:t>uradno obvestilo</w:t>
      </w:r>
      <w:r>
        <w:t>:</w:t>
      </w:r>
    </w:p>
    <w:p w14:paraId="3BBB8C43" w14:textId="77777777" w:rsidR="00D30E81" w:rsidRPr="004264AF" w:rsidRDefault="00D30E81" w:rsidP="001C2768">
      <w:pPr>
        <w:numPr>
          <w:ilvl w:val="0"/>
          <w:numId w:val="59"/>
        </w:numPr>
        <w:spacing w:after="100" w:afterAutospacing="1" w:line="240" w:lineRule="auto"/>
        <w:ind w:left="851" w:hanging="567"/>
        <w:jc w:val="both"/>
        <w:rPr>
          <w:szCs w:val="24"/>
        </w:rPr>
      </w:pPr>
      <w:r>
        <w:t>v katerem ga obvešča, da so pogoji za odpravo zadržanja izpolnjeni; in</w:t>
      </w:r>
    </w:p>
    <w:p w14:paraId="3BBB8C44" w14:textId="77777777" w:rsidR="00D30E81" w:rsidRPr="004264AF" w:rsidRDefault="00D30E81" w:rsidP="00700900">
      <w:pPr>
        <w:numPr>
          <w:ilvl w:val="0"/>
          <w:numId w:val="59"/>
        </w:numPr>
        <w:spacing w:before="100" w:beforeAutospacing="1" w:after="100" w:afterAutospacing="1" w:line="240" w:lineRule="auto"/>
        <w:ind w:left="851" w:hanging="567"/>
        <w:jc w:val="both"/>
        <w:rPr>
          <w:szCs w:val="24"/>
        </w:rPr>
      </w:pPr>
      <w:r>
        <w:t>v katerem ga poziva, naj predloži zahtevek za spremembo sporazuma, kot je določeno v členu II.16.3. Ta obveznost se ne uporablja, če je sporazum odpovedan v skladu s členom II.17.1 ali točkami (b), (f) ali (g) člena II.17.2.1.</w:t>
      </w:r>
    </w:p>
    <w:p w14:paraId="3BBB8C45" w14:textId="77777777" w:rsidR="00D30E81" w:rsidRPr="00D06D68" w:rsidRDefault="005A7083" w:rsidP="00797757">
      <w:pPr>
        <w:pStyle w:val="Heading3"/>
        <w:spacing w:before="100" w:beforeAutospacing="1" w:after="100" w:afterAutospacing="1"/>
      </w:pPr>
      <w:bookmarkStart w:id="90" w:name="_Toc441250849"/>
      <w:bookmarkStart w:id="91" w:name="_Toc1637188"/>
      <w:bookmarkStart w:id="92" w:name="_Toc30751975"/>
      <w:r>
        <w:t>II.16.3 Posledice zadržanja</w:t>
      </w:r>
      <w:bookmarkEnd w:id="90"/>
      <w:bookmarkEnd w:id="91"/>
      <w:bookmarkEnd w:id="92"/>
    </w:p>
    <w:p w14:paraId="3BBB8C46" w14:textId="77777777" w:rsidR="00D30E81" w:rsidRPr="004264AF" w:rsidRDefault="00D30E81" w:rsidP="001C2768">
      <w:pPr>
        <w:spacing w:before="100" w:beforeAutospacing="1" w:after="0" w:line="240" w:lineRule="auto"/>
        <w:jc w:val="both"/>
        <w:rPr>
          <w:szCs w:val="24"/>
        </w:rPr>
      </w:pPr>
      <w:r>
        <w:t xml:space="preserve">Če je izvajanje </w:t>
      </w:r>
      <w:r>
        <w:rPr>
          <w:i/>
        </w:rPr>
        <w:t>ukrepa</w:t>
      </w:r>
      <w:r>
        <w:t xml:space="preserve"> mogoče nadaljevati in sporazum ni odpovedan, je treba v skladu s členom II.13 izvesti spremembo sporazuma, da se:</w:t>
      </w:r>
    </w:p>
    <w:p w14:paraId="3BBB8C47" w14:textId="77777777" w:rsidR="00D30E81" w:rsidRPr="004264AF" w:rsidRDefault="00D30E81" w:rsidP="001C2768">
      <w:pPr>
        <w:numPr>
          <w:ilvl w:val="0"/>
          <w:numId w:val="60"/>
        </w:numPr>
        <w:spacing w:after="100" w:afterAutospacing="1" w:line="240" w:lineRule="auto"/>
        <w:ind w:left="851" w:hanging="567"/>
        <w:jc w:val="both"/>
        <w:rPr>
          <w:szCs w:val="24"/>
        </w:rPr>
      </w:pPr>
      <w:r>
        <w:t xml:space="preserve">določi datum ponovnega začetka izvajanja </w:t>
      </w:r>
      <w:r>
        <w:rPr>
          <w:i/>
        </w:rPr>
        <w:t>ukrepa</w:t>
      </w:r>
      <w:r>
        <w:t>;</w:t>
      </w:r>
    </w:p>
    <w:p w14:paraId="3BBB8C48"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t xml:space="preserve">podaljša trajanje </w:t>
      </w:r>
      <w:r>
        <w:rPr>
          <w:i/>
        </w:rPr>
        <w:t>ukrepa</w:t>
      </w:r>
      <w:r>
        <w:t xml:space="preserve"> in</w:t>
      </w:r>
    </w:p>
    <w:p w14:paraId="3BBB8C49"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t xml:space="preserve">izvedejo druge spremembe, potrebne za prilagoditev </w:t>
      </w:r>
      <w:r>
        <w:rPr>
          <w:i/>
        </w:rPr>
        <w:t>ukrepa</w:t>
      </w:r>
      <w:r>
        <w:t xml:space="preserve"> novim okoliščinam.</w:t>
      </w:r>
    </w:p>
    <w:p w14:paraId="3BBB8C4A" w14:textId="77777777" w:rsidR="00D30E81" w:rsidRPr="004264AF" w:rsidRDefault="00D30E81" w:rsidP="00797757">
      <w:pPr>
        <w:spacing w:before="100" w:beforeAutospacing="1" w:after="100" w:afterAutospacing="1" w:line="240" w:lineRule="auto"/>
        <w:jc w:val="both"/>
        <w:rPr>
          <w:szCs w:val="24"/>
        </w:rPr>
      </w:pPr>
      <w:r>
        <w:t>Zadržanje se odpravi z učinkom od dne ponovnega začetka izvajanja, določenega v spremembi. Ta datum je lahko pred datumom začetka veljavnosti spremembe.</w:t>
      </w:r>
    </w:p>
    <w:p w14:paraId="3BBB8C4B" w14:textId="77777777" w:rsidR="00D30E81" w:rsidRPr="004264AF" w:rsidRDefault="00D30E81" w:rsidP="00797757">
      <w:pPr>
        <w:spacing w:before="100" w:beforeAutospacing="1" w:after="100" w:afterAutospacing="1" w:line="240" w:lineRule="auto"/>
        <w:jc w:val="both"/>
        <w:rPr>
          <w:szCs w:val="24"/>
        </w:rPr>
      </w:pPr>
      <w:r>
        <w:t xml:space="preserve">Stroški, nastali v obdobju zadržanja, ki se nanašajo na izvajanje zadržanega </w:t>
      </w:r>
      <w:r>
        <w:rPr>
          <w:i/>
        </w:rPr>
        <w:t>ukrepa</w:t>
      </w:r>
      <w:r>
        <w:t xml:space="preserve"> ali zadržanega dela </w:t>
      </w:r>
      <w:r>
        <w:rPr>
          <w:i/>
        </w:rPr>
        <w:t>ukrepa</w:t>
      </w:r>
      <w:r>
        <w:t xml:space="preserve">, se ne smejo povrniti oziroma ne kriti iz nepovratnih sredstev.  </w:t>
      </w:r>
    </w:p>
    <w:p w14:paraId="3BBB8C4C" w14:textId="77777777" w:rsidR="00D30E81" w:rsidRPr="004264AF" w:rsidRDefault="00D30E81" w:rsidP="00797757">
      <w:pPr>
        <w:spacing w:before="100" w:beforeAutospacing="1" w:after="100" w:afterAutospacing="1" w:line="240" w:lineRule="auto"/>
        <w:jc w:val="both"/>
        <w:rPr>
          <w:szCs w:val="24"/>
        </w:rPr>
      </w:pPr>
      <w:r>
        <w:t xml:space="preserve">Zadržanje izvajanja </w:t>
      </w:r>
      <w:r>
        <w:rPr>
          <w:i/>
        </w:rPr>
        <w:t>ukrepa</w:t>
      </w:r>
      <w:r>
        <w:t xml:space="preserve"> ne vpliva na pravico Komisije, da odpove sporazum v skladu s členom II.17.2, ter njeno pravico, da zniža nepovratna sredstva ali izterja neupravičeno izplačane zneske v skladu s členoma II.25.4 in II.26.</w:t>
      </w:r>
    </w:p>
    <w:p w14:paraId="3BBB8C4D" w14:textId="77777777" w:rsidR="00D30E81" w:rsidRDefault="00D30E81" w:rsidP="00797757">
      <w:pPr>
        <w:spacing w:before="100" w:beforeAutospacing="1" w:after="100" w:afterAutospacing="1" w:line="240" w:lineRule="auto"/>
        <w:jc w:val="both"/>
        <w:rPr>
          <w:szCs w:val="24"/>
        </w:rPr>
      </w:pPr>
      <w:r>
        <w:t>Nobena stranka zaradi zadržanja s strani druge stranke ne more zahtevati odškodnine.</w:t>
      </w:r>
    </w:p>
    <w:p w14:paraId="3BBB8C4E" w14:textId="146A65C6" w:rsidR="00D30E81" w:rsidRPr="001A04C2" w:rsidRDefault="00C03303" w:rsidP="00797757">
      <w:pPr>
        <w:pStyle w:val="Heading2"/>
        <w:spacing w:before="100" w:beforeAutospacing="1" w:after="100" w:afterAutospacing="1"/>
      </w:pPr>
      <w:bookmarkStart w:id="93" w:name="_Toc441250850"/>
      <w:bookmarkStart w:id="94" w:name="_Toc1637189"/>
      <w:bookmarkStart w:id="95" w:name="_Toc30751976"/>
      <w:r>
        <w:t>ČLEN II.17 – ODPOVED SPORAZUMA</w:t>
      </w:r>
      <w:bookmarkEnd w:id="93"/>
      <w:bookmarkEnd w:id="94"/>
      <w:bookmarkEnd w:id="95"/>
    </w:p>
    <w:p w14:paraId="3BBB8C4F" w14:textId="77777777" w:rsidR="00D30E81" w:rsidRPr="00D06D68" w:rsidRDefault="00D30E81" w:rsidP="00797757">
      <w:pPr>
        <w:pStyle w:val="Heading3"/>
        <w:spacing w:before="100" w:beforeAutospacing="1" w:after="100" w:afterAutospacing="1"/>
      </w:pPr>
      <w:bookmarkStart w:id="96" w:name="_Toc441250851"/>
      <w:bookmarkStart w:id="97" w:name="_Toc1637190"/>
      <w:bookmarkStart w:id="98" w:name="_Toc30751977"/>
      <w:r>
        <w:t>II.17.1</w:t>
      </w:r>
      <w:r>
        <w:tab/>
        <w:t xml:space="preserve">Odpoved sporazuma s strani </w:t>
      </w:r>
      <w:bookmarkEnd w:id="96"/>
      <w:r>
        <w:t>upravičenca</w:t>
      </w:r>
      <w:bookmarkEnd w:id="97"/>
      <w:bookmarkEnd w:id="98"/>
    </w:p>
    <w:p w14:paraId="3BBB8C50" w14:textId="77777777" w:rsidR="00D30E81" w:rsidRPr="004264AF" w:rsidRDefault="00D30E81" w:rsidP="00797757">
      <w:pPr>
        <w:spacing w:before="100" w:beforeAutospacing="1" w:after="100" w:afterAutospacing="1" w:line="240" w:lineRule="auto"/>
        <w:jc w:val="both"/>
        <w:rPr>
          <w:szCs w:val="24"/>
        </w:rPr>
      </w:pPr>
      <w:r>
        <w:t>Upravičenec lahko odpove sporazum.</w:t>
      </w:r>
    </w:p>
    <w:p w14:paraId="3BBB8C51" w14:textId="77777777" w:rsidR="00D30E81" w:rsidRPr="004264AF" w:rsidRDefault="00D30E81" w:rsidP="001C2768">
      <w:pPr>
        <w:spacing w:before="100" w:beforeAutospacing="1" w:after="0" w:line="240" w:lineRule="auto"/>
        <w:jc w:val="both"/>
        <w:rPr>
          <w:szCs w:val="24"/>
        </w:rPr>
      </w:pPr>
      <w:r>
        <w:t xml:space="preserve">Upravičenec mora Komisiji poslati </w:t>
      </w:r>
      <w:r>
        <w:rPr>
          <w:i/>
        </w:rPr>
        <w:t>uradno obvestilo</w:t>
      </w:r>
      <w:r>
        <w:t xml:space="preserve"> o odpovedi, v katerem navede:</w:t>
      </w:r>
    </w:p>
    <w:p w14:paraId="3BBB8C52" w14:textId="77777777" w:rsidR="00D30E81" w:rsidRPr="004264AF" w:rsidRDefault="00D30E81" w:rsidP="001C2768">
      <w:pPr>
        <w:numPr>
          <w:ilvl w:val="0"/>
          <w:numId w:val="61"/>
        </w:numPr>
        <w:spacing w:after="100" w:afterAutospacing="1" w:line="240" w:lineRule="auto"/>
        <w:ind w:left="851" w:hanging="567"/>
        <w:jc w:val="both"/>
        <w:rPr>
          <w:szCs w:val="24"/>
        </w:rPr>
      </w:pPr>
      <w:r>
        <w:t>razloge za odpoved in</w:t>
      </w:r>
    </w:p>
    <w:p w14:paraId="3BBB8C53" w14:textId="77777777" w:rsidR="00D30E81" w:rsidRPr="004264AF" w:rsidRDefault="00D30E81" w:rsidP="00700900">
      <w:pPr>
        <w:numPr>
          <w:ilvl w:val="0"/>
          <w:numId w:val="61"/>
        </w:numPr>
        <w:spacing w:before="100" w:beforeAutospacing="1" w:after="100" w:afterAutospacing="1" w:line="240" w:lineRule="auto"/>
        <w:ind w:left="851" w:hanging="567"/>
        <w:jc w:val="both"/>
        <w:rPr>
          <w:szCs w:val="24"/>
        </w:rPr>
      </w:pPr>
      <w:r>
        <w:t xml:space="preserve">datum, na katerega odpoved začne učinkovati. Ta datum mora biti določen po </w:t>
      </w:r>
      <w:r>
        <w:rPr>
          <w:i/>
        </w:rPr>
        <w:t>uradnem obvestilu</w:t>
      </w:r>
      <w:r>
        <w:t>.</w:t>
      </w:r>
    </w:p>
    <w:p w14:paraId="3BBB8C54" w14:textId="77777777" w:rsidR="00D30E81" w:rsidRPr="004264AF" w:rsidRDefault="00D30E81" w:rsidP="00797757">
      <w:pPr>
        <w:spacing w:before="100" w:beforeAutospacing="1" w:after="100" w:afterAutospacing="1" w:line="240" w:lineRule="auto"/>
        <w:jc w:val="both"/>
        <w:rPr>
          <w:szCs w:val="24"/>
        </w:rPr>
      </w:pPr>
      <w:r>
        <w:t>Če upravičenec ne navede razlogov za odpoved ali če Komisija meni, da razlogi ne upravičujejo odpovedi, se za sporazum šteje, da je bil odpovedan nepravilno.</w:t>
      </w:r>
    </w:p>
    <w:p w14:paraId="3BBB8C55" w14:textId="77777777" w:rsidR="00D30E81" w:rsidRPr="004264AF" w:rsidRDefault="00D30E81" w:rsidP="00797757">
      <w:pPr>
        <w:spacing w:before="100" w:beforeAutospacing="1" w:after="100" w:afterAutospacing="1" w:line="240" w:lineRule="auto"/>
        <w:jc w:val="both"/>
        <w:rPr>
          <w:szCs w:val="24"/>
        </w:rPr>
      </w:pPr>
      <w:r>
        <w:t xml:space="preserve">Odpoved začne učinkovati na dan iz </w:t>
      </w:r>
      <w:r>
        <w:rPr>
          <w:i/>
        </w:rPr>
        <w:t>uradnega obvestila</w:t>
      </w:r>
      <w:r>
        <w:t>.</w:t>
      </w:r>
    </w:p>
    <w:p w14:paraId="3BBB8C56" w14:textId="77777777" w:rsidR="00D30E81" w:rsidRPr="00D06D68" w:rsidRDefault="00D30E81" w:rsidP="00797757">
      <w:pPr>
        <w:pStyle w:val="Heading3"/>
        <w:spacing w:before="100" w:beforeAutospacing="1" w:after="100" w:afterAutospacing="1"/>
      </w:pPr>
      <w:bookmarkStart w:id="99" w:name="_Toc441250853"/>
      <w:bookmarkStart w:id="100" w:name="_Toc1637191"/>
      <w:bookmarkStart w:id="101" w:name="_Toc30751978"/>
      <w:r>
        <w:t>II.17.2</w:t>
      </w:r>
      <w:r>
        <w:tab/>
        <w:t>Odpoved sporazuma s strani Komisije</w:t>
      </w:r>
      <w:bookmarkEnd w:id="99"/>
      <w:bookmarkEnd w:id="100"/>
      <w:bookmarkEnd w:id="101"/>
    </w:p>
    <w:p w14:paraId="3BBB8C57" w14:textId="77777777" w:rsidR="00D30E81" w:rsidRPr="00D06D68" w:rsidRDefault="00D30E81" w:rsidP="00797757">
      <w:pPr>
        <w:pStyle w:val="Heading4"/>
        <w:spacing w:before="100" w:beforeAutospacing="1" w:after="100" w:afterAutospacing="1"/>
      </w:pPr>
      <w:r>
        <w:t>II.17.2.1</w:t>
      </w:r>
      <w:r>
        <w:tab/>
        <w:t>Razlogi za odpoved</w:t>
      </w:r>
    </w:p>
    <w:p w14:paraId="3BBB8C58" w14:textId="77777777" w:rsidR="00D30E81" w:rsidRPr="004264AF" w:rsidRDefault="00D30E81" w:rsidP="001C2768">
      <w:pPr>
        <w:spacing w:before="100" w:beforeAutospacing="1" w:after="0" w:line="240" w:lineRule="auto"/>
        <w:jc w:val="both"/>
        <w:rPr>
          <w:szCs w:val="24"/>
        </w:rPr>
      </w:pPr>
      <w:r>
        <w:t>Komisija lahko odpove sporazum, če:</w:t>
      </w:r>
    </w:p>
    <w:p w14:paraId="3BBB8C59" w14:textId="33254A2E" w:rsidR="00D30E81" w:rsidRPr="0060623D" w:rsidRDefault="00D30E81" w:rsidP="001C2768">
      <w:pPr>
        <w:numPr>
          <w:ilvl w:val="0"/>
          <w:numId w:val="63"/>
        </w:numPr>
        <w:spacing w:line="240" w:lineRule="auto"/>
        <w:ind w:left="851" w:hanging="567"/>
        <w:jc w:val="both"/>
        <w:rPr>
          <w:szCs w:val="24"/>
        </w:rPr>
      </w:pPr>
      <w:r>
        <w:t>lahko sprememba upravičenčevih pravnih, finančnih, tehničnih, organizacijskih ali nadzornih okoliščin znatno vpliva na izvajanje sporazuma ali vzbudi dvome o sklepu o dodelitvi nepovratnih sredstev ali v primeru spremembe v zvezi s situacijami za izključitev, navedenimi v členu 136 Uredbe (EU) 2018/1046, ki vzbuja dvom o sklepu o dodelitvi nepovratnih sredstev;</w:t>
      </w:r>
    </w:p>
    <w:p w14:paraId="3BBB8C5A" w14:textId="1A09BFEB" w:rsidR="00D30E81" w:rsidRPr="00205981" w:rsidRDefault="00D30E81" w:rsidP="001C2768">
      <w:pPr>
        <w:numPr>
          <w:ilvl w:val="0"/>
          <w:numId w:val="63"/>
        </w:numPr>
        <w:spacing w:line="240" w:lineRule="auto"/>
        <w:ind w:left="851" w:hanging="567"/>
        <w:jc w:val="both"/>
        <w:rPr>
          <w:szCs w:val="24"/>
        </w:rPr>
      </w:pPr>
      <w:r>
        <w:t xml:space="preserve">je upravičenec, katera koli </w:t>
      </w:r>
      <w:r>
        <w:rPr>
          <w:i/>
        </w:rPr>
        <w:t>povezana oseba</w:t>
      </w:r>
      <w:r>
        <w:t xml:space="preserve"> ali katera koli fizična oseba, ki je nujna za dodelitev ali izvajanje sporazuma, storil resno </w:t>
      </w:r>
      <w:r>
        <w:rPr>
          <w:i/>
        </w:rPr>
        <w:t>kršitev obveznosti</w:t>
      </w:r>
      <w:r>
        <w:t xml:space="preserve">, vključno z nepravilnim izvajanjem </w:t>
      </w:r>
      <w:r>
        <w:rPr>
          <w:i/>
        </w:rPr>
        <w:t>ukrepa</w:t>
      </w:r>
      <w:r>
        <w:t>, kot je opisan v Prilogi I;</w:t>
      </w:r>
    </w:p>
    <w:p w14:paraId="3BBB8C5B" w14:textId="77777777" w:rsidR="00D30E81" w:rsidRPr="00205981" w:rsidRDefault="00D30E81" w:rsidP="001C2768">
      <w:pPr>
        <w:numPr>
          <w:ilvl w:val="0"/>
          <w:numId w:val="63"/>
        </w:numPr>
        <w:spacing w:after="0" w:line="240" w:lineRule="auto"/>
        <w:ind w:left="851" w:hanging="567"/>
        <w:jc w:val="both"/>
        <w:rPr>
          <w:szCs w:val="24"/>
        </w:rPr>
      </w:pPr>
      <w:r>
        <w:t xml:space="preserve">izvajanje </w:t>
      </w:r>
      <w:r>
        <w:rPr>
          <w:i/>
        </w:rPr>
        <w:t>ukrepa</w:t>
      </w:r>
      <w:r>
        <w:t xml:space="preserve"> prepreči ali zadrži </w:t>
      </w:r>
      <w:r>
        <w:rPr>
          <w:i/>
        </w:rPr>
        <w:t>višja sila</w:t>
      </w:r>
      <w:r>
        <w:t xml:space="preserve"> ali izjemne okoliščine in bodisi:</w:t>
      </w:r>
    </w:p>
    <w:p w14:paraId="3BBB8C5C" w14:textId="77777777" w:rsidR="00D30E81" w:rsidRPr="00205981" w:rsidRDefault="00D30E81" w:rsidP="001C2768">
      <w:pPr>
        <w:numPr>
          <w:ilvl w:val="0"/>
          <w:numId w:val="64"/>
        </w:numPr>
        <w:spacing w:after="0" w:line="240" w:lineRule="auto"/>
        <w:ind w:left="1418" w:hanging="567"/>
        <w:jc w:val="both"/>
        <w:rPr>
          <w:szCs w:val="24"/>
        </w:rPr>
      </w:pPr>
      <w:r>
        <w:t>ponoven začetek izvajanja ni mogoč; ali</w:t>
      </w:r>
    </w:p>
    <w:p w14:paraId="3BBB8C5D" w14:textId="77777777" w:rsidR="00D30E81" w:rsidRPr="00205981" w:rsidRDefault="00D30E81" w:rsidP="001C2768">
      <w:pPr>
        <w:numPr>
          <w:ilvl w:val="0"/>
          <w:numId w:val="64"/>
        </w:numPr>
        <w:spacing w:line="240" w:lineRule="auto"/>
        <w:ind w:left="1418" w:hanging="567"/>
        <w:jc w:val="both"/>
        <w:rPr>
          <w:szCs w:val="24"/>
        </w:rPr>
      </w:pPr>
      <w:r>
        <w:t>bi potrebne spremembe sporazuma vzbudile dvome o sklepu o dodelitvi nepovratnih sredstev ali kršile načelo enake obravnave vložnikov;</w:t>
      </w:r>
    </w:p>
    <w:p w14:paraId="0E3B09AA" w14:textId="3ED59A2A" w:rsidR="003D0321" w:rsidRPr="00205981" w:rsidRDefault="009A1BEA" w:rsidP="001C2768">
      <w:pPr>
        <w:numPr>
          <w:ilvl w:val="0"/>
          <w:numId w:val="63"/>
        </w:numPr>
        <w:spacing w:after="0" w:line="240" w:lineRule="auto"/>
        <w:ind w:left="851" w:hanging="567"/>
        <w:jc w:val="both"/>
      </w:pPr>
      <w:r>
        <w:t>za upravičenca ali katero koli fizično ali pravno osebo, ki prevzame neomejeno odgovornost za dolgove upravičenca, velja naslednje:</w:t>
      </w:r>
    </w:p>
    <w:p w14:paraId="09EE76A8" w14:textId="77777777" w:rsidR="003D0321" w:rsidRPr="00205981" w:rsidRDefault="003D0321" w:rsidP="001C2768">
      <w:pPr>
        <w:numPr>
          <w:ilvl w:val="0"/>
          <w:numId w:val="120"/>
        </w:numPr>
        <w:spacing w:after="0" w:line="240" w:lineRule="auto"/>
        <w:ind w:left="1418" w:hanging="567"/>
        <w:jc w:val="both"/>
        <w:rPr>
          <w:szCs w:val="24"/>
        </w:rPr>
      </w:pPr>
      <w:r>
        <w:t>je v stečaju, postopku zaradi insolventnosti ali postopku likvidacije, njegova sredstva upravlja likvidator ali sodišče, ima dogovor z upniki, njegove poslovne dejavnosti so začasno ustavljene ali je v kakršni koli podobni situaciji, ki nastane zaradi podobnega postopka, določenega v pravu Unije ali nacionalnem pravu;</w:t>
      </w:r>
    </w:p>
    <w:p w14:paraId="3BBB8C5E" w14:textId="17F7740B" w:rsidR="00D30E81" w:rsidRPr="00205981" w:rsidRDefault="003D0321" w:rsidP="001C2768">
      <w:pPr>
        <w:numPr>
          <w:ilvl w:val="0"/>
          <w:numId w:val="120"/>
        </w:numPr>
        <w:spacing w:line="240" w:lineRule="auto"/>
        <w:ind w:left="1418" w:hanging="567"/>
        <w:jc w:val="both"/>
        <w:rPr>
          <w:szCs w:val="24"/>
        </w:rPr>
      </w:pPr>
      <w:r>
        <w:t xml:space="preserve">krši svoje obveznosti v zvezi s plačilom davkov ali prispevkov za socialno varnost v skladu s pravom, ki se uporablja; </w:t>
      </w:r>
    </w:p>
    <w:p w14:paraId="383C70D2" w14:textId="77777777" w:rsidR="003D0321" w:rsidRPr="00205981" w:rsidRDefault="009A1BEA" w:rsidP="001C2768">
      <w:pPr>
        <w:numPr>
          <w:ilvl w:val="0"/>
          <w:numId w:val="63"/>
        </w:numPr>
        <w:spacing w:after="0" w:line="240" w:lineRule="auto"/>
        <w:ind w:left="851" w:hanging="567"/>
        <w:jc w:val="both"/>
      </w:pPr>
      <w:r>
        <w:t xml:space="preserve">upravičenec ali katera koli </w:t>
      </w:r>
      <w:r>
        <w:rPr>
          <w:i/>
        </w:rPr>
        <w:t>povezana oseba</w:t>
      </w:r>
      <w:r>
        <w:t xml:space="preserve"> ali katera koli fizična oseba, ki je nujna za dodelitev ali izvajanje sporazuma, stori:</w:t>
      </w:r>
    </w:p>
    <w:p w14:paraId="01C0FBC3" w14:textId="77777777" w:rsidR="003D0321" w:rsidRPr="00205981" w:rsidRDefault="003D0321" w:rsidP="001C2768">
      <w:pPr>
        <w:numPr>
          <w:ilvl w:val="0"/>
          <w:numId w:val="121"/>
        </w:numPr>
        <w:spacing w:after="0" w:line="240" w:lineRule="auto"/>
        <w:ind w:left="1418" w:hanging="567"/>
        <w:jc w:val="both"/>
      </w:pPr>
      <w:r>
        <w:rPr>
          <w:i/>
        </w:rPr>
        <w:t>hudo kršitev poklicnih pravil</w:t>
      </w:r>
      <w:r>
        <w:t>, dokazano na kakršni koli podlagi;</w:t>
      </w:r>
    </w:p>
    <w:p w14:paraId="638728A7" w14:textId="77777777" w:rsidR="003D0321" w:rsidRPr="00205981" w:rsidRDefault="003D0321" w:rsidP="001C2768">
      <w:pPr>
        <w:numPr>
          <w:ilvl w:val="0"/>
          <w:numId w:val="121"/>
        </w:numPr>
        <w:spacing w:after="0" w:line="240" w:lineRule="auto"/>
        <w:ind w:left="1418" w:hanging="567"/>
        <w:jc w:val="both"/>
      </w:pPr>
      <w:r>
        <w:rPr>
          <w:i/>
        </w:rPr>
        <w:t>goljufijo</w:t>
      </w:r>
      <w:r>
        <w:t>;</w:t>
      </w:r>
    </w:p>
    <w:p w14:paraId="532F6D14" w14:textId="77777777" w:rsidR="003D0321" w:rsidRPr="00205981" w:rsidRDefault="003D0321" w:rsidP="001C2768">
      <w:pPr>
        <w:numPr>
          <w:ilvl w:val="0"/>
          <w:numId w:val="121"/>
        </w:numPr>
        <w:spacing w:after="0" w:line="240" w:lineRule="auto"/>
        <w:ind w:left="1418" w:hanging="567"/>
        <w:jc w:val="both"/>
      </w:pPr>
      <w:r>
        <w:t>korupcijo;</w:t>
      </w:r>
    </w:p>
    <w:p w14:paraId="5D788403" w14:textId="77777777" w:rsidR="003D0321" w:rsidRPr="00205981" w:rsidRDefault="003D0321" w:rsidP="001C2768">
      <w:pPr>
        <w:numPr>
          <w:ilvl w:val="0"/>
          <w:numId w:val="121"/>
        </w:numPr>
        <w:spacing w:after="0" w:line="240" w:lineRule="auto"/>
        <w:ind w:left="1418" w:hanging="567"/>
        <w:jc w:val="both"/>
      </w:pPr>
      <w:r>
        <w:t>ravnanje, povezano s kriminalnimi združbami;</w:t>
      </w:r>
    </w:p>
    <w:p w14:paraId="736D4892" w14:textId="77777777" w:rsidR="003D0321" w:rsidRPr="00205981" w:rsidRDefault="003D0321" w:rsidP="001C2768">
      <w:pPr>
        <w:numPr>
          <w:ilvl w:val="0"/>
          <w:numId w:val="121"/>
        </w:numPr>
        <w:spacing w:after="0" w:line="240" w:lineRule="auto"/>
        <w:ind w:left="1418" w:hanging="567"/>
        <w:jc w:val="both"/>
      </w:pPr>
      <w:r>
        <w:t>pranje denarja;</w:t>
      </w:r>
    </w:p>
    <w:p w14:paraId="4285EEF1" w14:textId="77777777" w:rsidR="003D0321" w:rsidRPr="00205981" w:rsidRDefault="003D0321" w:rsidP="001C2768">
      <w:pPr>
        <w:numPr>
          <w:ilvl w:val="0"/>
          <w:numId w:val="121"/>
        </w:numPr>
        <w:spacing w:after="0" w:line="240" w:lineRule="auto"/>
        <w:ind w:left="1418" w:hanging="567"/>
        <w:jc w:val="both"/>
      </w:pPr>
      <w:r>
        <w:t>kazniva dejanja, povezana s terorizmom (vključno s financiranjem terorizma);</w:t>
      </w:r>
    </w:p>
    <w:p w14:paraId="3BBB8C5F" w14:textId="1EAFFA2D" w:rsidR="00D30E81" w:rsidRPr="001C2768" w:rsidRDefault="003D0321" w:rsidP="001C2768">
      <w:pPr>
        <w:numPr>
          <w:ilvl w:val="0"/>
          <w:numId w:val="121"/>
        </w:numPr>
        <w:spacing w:line="240" w:lineRule="auto"/>
        <w:ind w:left="1418" w:hanging="567"/>
        <w:jc w:val="both"/>
        <w:rPr>
          <w:sz w:val="22"/>
        </w:rPr>
      </w:pPr>
      <w:r>
        <w:t>delo otrok ali druga kazniva dejanja v zvezi s trgovino z ljudmi;</w:t>
      </w:r>
    </w:p>
    <w:p w14:paraId="3BBB8C60" w14:textId="7FE1697E" w:rsidR="00D30E81" w:rsidRPr="00205981" w:rsidRDefault="00D30E81" w:rsidP="001C2768">
      <w:pPr>
        <w:numPr>
          <w:ilvl w:val="0"/>
          <w:numId w:val="63"/>
        </w:numPr>
        <w:spacing w:line="240" w:lineRule="auto"/>
        <w:ind w:left="851" w:hanging="567"/>
        <w:jc w:val="both"/>
        <w:rPr>
          <w:szCs w:val="24"/>
        </w:rPr>
      </w:pPr>
      <w:r>
        <w:t xml:space="preserve">ima dokaze, da je upravičenec ali katera koli </w:t>
      </w:r>
      <w:r>
        <w:rPr>
          <w:i/>
        </w:rPr>
        <w:t>povezana oseba</w:t>
      </w:r>
      <w:r>
        <w:t xml:space="preserve"> ali katera koli fizična oseba, ki je nujna za dodelitev ali izvajanje sporazuma, storila </w:t>
      </w:r>
      <w:r>
        <w:rPr>
          <w:i/>
        </w:rPr>
        <w:t>nepravilnosti, goljufije</w:t>
      </w:r>
      <w:r>
        <w:t xml:space="preserve"> ali </w:t>
      </w:r>
      <w:r>
        <w:rPr>
          <w:i/>
        </w:rPr>
        <w:t>kršitve obveznosti</w:t>
      </w:r>
      <w:r>
        <w:t xml:space="preserve"> v postopku dodeljevanja ali pri izvajanju sporazuma, tudi če je upravičenec, </w:t>
      </w:r>
      <w:r>
        <w:rPr>
          <w:i/>
        </w:rPr>
        <w:t>povezana oseba</w:t>
      </w:r>
      <w:r>
        <w:t xml:space="preserve"> ali fizična oseba predložila lažne informacije ali ni predložila zahtevanih informacij;</w:t>
      </w:r>
    </w:p>
    <w:p w14:paraId="1E27D9E1" w14:textId="576BDC12" w:rsidR="00F57ECB" w:rsidRPr="00205981" w:rsidRDefault="00D30E81" w:rsidP="001C2768">
      <w:pPr>
        <w:numPr>
          <w:ilvl w:val="0"/>
          <w:numId w:val="63"/>
        </w:numPr>
        <w:spacing w:line="240" w:lineRule="auto"/>
        <w:ind w:left="851" w:hanging="567"/>
        <w:jc w:val="both"/>
        <w:rPr>
          <w:szCs w:val="24"/>
        </w:rPr>
      </w:pPr>
      <w:r>
        <w:t xml:space="preserve">ima dokaze, da je upravičenec storil sistemske ali ponavljajoče se </w:t>
      </w:r>
      <w:r>
        <w:rPr>
          <w:i/>
        </w:rPr>
        <w:t>nepravilnosti</w:t>
      </w:r>
      <w:r>
        <w:t xml:space="preserve">, </w:t>
      </w:r>
      <w:r>
        <w:rPr>
          <w:i/>
        </w:rPr>
        <w:t>goljufije</w:t>
      </w:r>
      <w:r>
        <w:t xml:space="preserve"> ali resne </w:t>
      </w:r>
      <w:r>
        <w:rPr>
          <w:i/>
        </w:rPr>
        <w:t>kršitve obveznosti</w:t>
      </w:r>
      <w:r>
        <w:t xml:space="preserve"> v zvezi z drugimi nepovratnimi sredstvi Unije ali Euratoma, ki so mu bila dodeljena pod podobnimi pogoji, in če take </w:t>
      </w:r>
      <w:r>
        <w:rPr>
          <w:i/>
        </w:rPr>
        <w:t>nepravilnosti, goljufije</w:t>
      </w:r>
      <w:r>
        <w:t xml:space="preserve"> ali </w:t>
      </w:r>
      <w:r>
        <w:rPr>
          <w:i/>
        </w:rPr>
        <w:t>kršitve obveznosti</w:t>
      </w:r>
      <w:r>
        <w:t xml:space="preserve"> znatno vplivajo na ta nepovratna sredstva; </w:t>
      </w:r>
    </w:p>
    <w:p w14:paraId="7E2DF54D" w14:textId="77777777" w:rsidR="00F57ECB" w:rsidRPr="00205981" w:rsidRDefault="00F57ECB" w:rsidP="001C2768">
      <w:pPr>
        <w:numPr>
          <w:ilvl w:val="0"/>
          <w:numId w:val="63"/>
        </w:numPr>
        <w:spacing w:line="240" w:lineRule="auto"/>
        <w:ind w:left="851" w:hanging="567"/>
        <w:jc w:val="both"/>
        <w:rPr>
          <w:szCs w:val="24"/>
        </w:rPr>
      </w:pPr>
      <w:r>
        <w:t xml:space="preserve">je upravičenec ali katera koli </w:t>
      </w:r>
      <w:r>
        <w:rPr>
          <w:i/>
        </w:rPr>
        <w:t>povezana oseba</w:t>
      </w:r>
      <w:r>
        <w:t xml:space="preserve"> ali katera koli fizična oseba, ki je nujna za dodelitev ali izvajanje sporazuma, ustanovila subjekt v drugi jurisdikciji z namenom, da bi se izognila davčnim, socialnim ali drugim pravnim obveznostim v jurisdikciji, v kateri ima statutarni sedež, osrednjo upravo ali glavno poslovno enoto;</w:t>
      </w:r>
    </w:p>
    <w:p w14:paraId="3BBB8C61" w14:textId="136F7DD9" w:rsidR="00D30E81" w:rsidRPr="00205981" w:rsidRDefault="00F57ECB" w:rsidP="001C2768">
      <w:pPr>
        <w:numPr>
          <w:ilvl w:val="0"/>
          <w:numId w:val="63"/>
        </w:numPr>
        <w:spacing w:line="240" w:lineRule="auto"/>
        <w:ind w:left="851" w:hanging="567"/>
        <w:jc w:val="both"/>
        <w:rPr>
          <w:szCs w:val="24"/>
        </w:rPr>
      </w:pPr>
      <w:r>
        <w:t xml:space="preserve">je bil upravičenec ali katera koli </w:t>
      </w:r>
      <w:r>
        <w:rPr>
          <w:i/>
        </w:rPr>
        <w:t>povezana oseba</w:t>
      </w:r>
      <w:r>
        <w:t xml:space="preserve"> ustanovljena z namenom iz točke (h) ali</w:t>
      </w:r>
    </w:p>
    <w:p w14:paraId="3BBB8C62" w14:textId="40366CC6" w:rsidR="00D30E81" w:rsidRPr="00205981" w:rsidRDefault="00D30E81" w:rsidP="001C2768">
      <w:pPr>
        <w:numPr>
          <w:ilvl w:val="0"/>
          <w:numId w:val="63"/>
        </w:numPr>
        <w:spacing w:line="240" w:lineRule="auto"/>
        <w:ind w:left="851" w:hanging="567"/>
        <w:jc w:val="both"/>
        <w:rPr>
          <w:szCs w:val="24"/>
        </w:rPr>
      </w:pPr>
      <w:r>
        <w:t xml:space="preserve">je Komisija upravičencu poslala </w:t>
      </w:r>
      <w:r>
        <w:rPr>
          <w:i/>
        </w:rPr>
        <w:t>uradno obvestilo</w:t>
      </w:r>
      <w:r>
        <w:t>, v katerem ga poziva h končanju sodelovanja njegovega povezanega subjekta, ker za navedeni subjekt veljajo okoliščine iz točk (d) do (i) in upravičenec ni zahteval spremembe, s katero bi se končalo sodelovanje subjekta in prerazporedile njegove naloge.</w:t>
      </w:r>
    </w:p>
    <w:p w14:paraId="3BBB8C63" w14:textId="77777777" w:rsidR="00D30E81" w:rsidRPr="00D06D68" w:rsidRDefault="00D30E81" w:rsidP="00797757">
      <w:pPr>
        <w:pStyle w:val="Heading4"/>
        <w:spacing w:before="100" w:beforeAutospacing="1" w:after="100" w:afterAutospacing="1"/>
      </w:pPr>
      <w:r>
        <w:t xml:space="preserve">II.17.2.2 </w:t>
      </w:r>
      <w:r>
        <w:tab/>
        <w:t>Postopek za odpoved</w:t>
      </w:r>
    </w:p>
    <w:p w14:paraId="3BBB8C64" w14:textId="77777777" w:rsidR="00D30E81" w:rsidRPr="004264AF" w:rsidRDefault="00D30E81" w:rsidP="001C2768">
      <w:pPr>
        <w:spacing w:before="100" w:beforeAutospacing="1" w:after="0" w:line="240" w:lineRule="auto"/>
        <w:jc w:val="both"/>
        <w:rPr>
          <w:szCs w:val="24"/>
        </w:rPr>
      </w:pPr>
      <w:r>
        <w:rPr>
          <w:b/>
        </w:rPr>
        <w:t>1. korak</w:t>
      </w:r>
      <w:r>
        <w:t xml:space="preserve"> – Pred odpovedjo sporazuma mora Komisija upravičencu poslati </w:t>
      </w:r>
      <w:r>
        <w:rPr>
          <w:i/>
        </w:rPr>
        <w:t>uradno obvestilo</w:t>
      </w:r>
      <w:r>
        <w:t>, v katerem ga</w:t>
      </w:r>
    </w:p>
    <w:p w14:paraId="3BBB8C65" w14:textId="77777777" w:rsidR="00D30E81" w:rsidRPr="004264AF" w:rsidRDefault="00D30E81" w:rsidP="001C2768">
      <w:pPr>
        <w:numPr>
          <w:ilvl w:val="1"/>
          <w:numId w:val="7"/>
        </w:numPr>
        <w:spacing w:after="0" w:line="240" w:lineRule="auto"/>
        <w:ind w:left="851" w:hanging="567"/>
        <w:jc w:val="both"/>
        <w:rPr>
          <w:szCs w:val="24"/>
        </w:rPr>
      </w:pPr>
      <w:r>
        <w:t>obvešča o:</w:t>
      </w:r>
    </w:p>
    <w:p w14:paraId="3BBB8C66" w14:textId="77777777" w:rsidR="00D30E81" w:rsidRPr="004264AF" w:rsidRDefault="00D30E81" w:rsidP="001C2768">
      <w:pPr>
        <w:numPr>
          <w:ilvl w:val="0"/>
          <w:numId w:val="65"/>
        </w:numPr>
        <w:spacing w:after="0" w:line="240" w:lineRule="auto"/>
        <w:ind w:left="1418" w:hanging="567"/>
        <w:jc w:val="both"/>
        <w:rPr>
          <w:szCs w:val="24"/>
        </w:rPr>
      </w:pPr>
      <w:r>
        <w:t>svoji nameri, da odpove sporazum;</w:t>
      </w:r>
    </w:p>
    <w:p w14:paraId="3BBB8C67" w14:textId="77777777" w:rsidR="00D30E81" w:rsidRPr="004264AF" w:rsidRDefault="00D30E81" w:rsidP="001C2768">
      <w:pPr>
        <w:numPr>
          <w:ilvl w:val="0"/>
          <w:numId w:val="65"/>
        </w:numPr>
        <w:spacing w:after="0" w:line="240" w:lineRule="auto"/>
        <w:ind w:left="1418" w:hanging="567"/>
        <w:jc w:val="both"/>
        <w:rPr>
          <w:szCs w:val="24"/>
        </w:rPr>
      </w:pPr>
      <w:r>
        <w:t>razlogih za odpoved in</w:t>
      </w:r>
    </w:p>
    <w:p w14:paraId="3BBB8C68" w14:textId="77777777" w:rsidR="00D30E81" w:rsidRPr="004264AF" w:rsidRDefault="00D30E81" w:rsidP="001C2768">
      <w:pPr>
        <w:numPr>
          <w:ilvl w:val="1"/>
          <w:numId w:val="7"/>
        </w:numPr>
        <w:spacing w:after="0" w:line="240" w:lineRule="auto"/>
        <w:ind w:left="851" w:hanging="567"/>
        <w:jc w:val="both"/>
        <w:rPr>
          <w:szCs w:val="24"/>
        </w:rPr>
      </w:pPr>
      <w:r>
        <w:t>zahteva, naj v 45 koledarskih dneh po prejemu uradnega obvestila:</w:t>
      </w:r>
    </w:p>
    <w:p w14:paraId="3BBB8C69" w14:textId="77777777" w:rsidR="00D30E81" w:rsidRPr="004264AF" w:rsidRDefault="00D30E81" w:rsidP="001C2768">
      <w:pPr>
        <w:numPr>
          <w:ilvl w:val="0"/>
          <w:numId w:val="66"/>
        </w:numPr>
        <w:spacing w:after="0" w:line="240" w:lineRule="auto"/>
        <w:ind w:left="1418" w:hanging="567"/>
        <w:jc w:val="both"/>
        <w:rPr>
          <w:szCs w:val="24"/>
        </w:rPr>
      </w:pPr>
      <w:r>
        <w:t>predloži pripombe; in</w:t>
      </w:r>
    </w:p>
    <w:p w14:paraId="3BBB8C6A" w14:textId="77777777" w:rsidR="00D30E81" w:rsidRPr="004264AF" w:rsidRDefault="00D30E81" w:rsidP="001C2768">
      <w:pPr>
        <w:numPr>
          <w:ilvl w:val="0"/>
          <w:numId w:val="66"/>
        </w:numPr>
        <w:spacing w:after="0" w:line="240" w:lineRule="auto"/>
        <w:ind w:left="1418" w:hanging="567"/>
        <w:jc w:val="both"/>
        <w:rPr>
          <w:szCs w:val="24"/>
        </w:rPr>
      </w:pPr>
      <w:r>
        <w:t>v primeru točke (b) člena II.17.2.1 Komisijo obvesti o ukrepih za zagotavljanje izpolnjevanja obveznosti na podlagi sporazuma.</w:t>
      </w:r>
    </w:p>
    <w:p w14:paraId="3BBB8C6B" w14:textId="77777777" w:rsidR="00D30E81" w:rsidRPr="004264AF" w:rsidRDefault="00D30E81" w:rsidP="00797757">
      <w:pPr>
        <w:spacing w:before="100" w:beforeAutospacing="1" w:after="100" w:afterAutospacing="1" w:line="240" w:lineRule="auto"/>
        <w:jc w:val="both"/>
        <w:rPr>
          <w:szCs w:val="24"/>
        </w:rPr>
      </w:pPr>
      <w:r>
        <w:rPr>
          <w:b/>
        </w:rPr>
        <w:t>2. korak –</w:t>
      </w:r>
      <w:r>
        <w:t xml:space="preserve"> Če Komisija ne prejme pripomb ali sklene, da bo kljub prejetim pripombam nadaljevala postopek, bo upravičencu poslala </w:t>
      </w:r>
      <w:r>
        <w:rPr>
          <w:i/>
        </w:rPr>
        <w:t>uradno obvestilo</w:t>
      </w:r>
      <w:r>
        <w:t>, v katerem ga obvešča o odpovedi in datumu začetka njene veljavnosti.</w:t>
      </w:r>
    </w:p>
    <w:p w14:paraId="3BBB8C6C" w14:textId="77777777" w:rsidR="00D30E81" w:rsidRPr="004264AF" w:rsidRDefault="00D30E81" w:rsidP="00797757">
      <w:pPr>
        <w:spacing w:before="100" w:beforeAutospacing="1" w:after="100" w:afterAutospacing="1" w:line="240" w:lineRule="auto"/>
        <w:jc w:val="both"/>
        <w:rPr>
          <w:szCs w:val="24"/>
        </w:rPr>
      </w:pPr>
      <w:r>
        <w:t xml:space="preserve">Drugače mora Komisija upravičencu poslati </w:t>
      </w:r>
      <w:r>
        <w:rPr>
          <w:i/>
        </w:rPr>
        <w:t>uradno obvestilo</w:t>
      </w:r>
      <w:r>
        <w:t>, v katerem ga obvešča, da se postopek za odpoved ne bo nadaljeval.</w:t>
      </w:r>
    </w:p>
    <w:p w14:paraId="3BBB8C6D" w14:textId="77777777" w:rsidR="00D30E81" w:rsidRPr="004264AF" w:rsidRDefault="00D30E81" w:rsidP="001C2768">
      <w:pPr>
        <w:spacing w:before="100" w:beforeAutospacing="1" w:after="0" w:line="240" w:lineRule="auto"/>
        <w:jc w:val="both"/>
        <w:rPr>
          <w:szCs w:val="24"/>
        </w:rPr>
      </w:pPr>
      <w:r>
        <w:t>Odpoved začne učinkovati:</w:t>
      </w:r>
    </w:p>
    <w:p w14:paraId="3BBB8C6E" w14:textId="77777777" w:rsidR="00D30E81" w:rsidRPr="004264AF" w:rsidRDefault="00D30E81" w:rsidP="001C2768">
      <w:pPr>
        <w:numPr>
          <w:ilvl w:val="0"/>
          <w:numId w:val="67"/>
        </w:numPr>
        <w:spacing w:after="100" w:afterAutospacing="1" w:line="240" w:lineRule="auto"/>
        <w:ind w:left="851" w:hanging="567"/>
        <w:jc w:val="both"/>
        <w:rPr>
          <w:szCs w:val="24"/>
        </w:rPr>
      </w:pPr>
      <w:r>
        <w:t xml:space="preserve">za odpovedi iz točk (a), (b) in (d) člena II.17.2.1: na dan iz </w:t>
      </w:r>
      <w:r>
        <w:rPr>
          <w:i/>
        </w:rPr>
        <w:t>uradnega obvestila</w:t>
      </w:r>
      <w:r>
        <w:t xml:space="preserve"> o odpovedi, kot je navedeno v drugem pododstavku (tj. v 2. koraku zgoraj);</w:t>
      </w:r>
    </w:p>
    <w:p w14:paraId="3BBB8C70" w14:textId="263EAC3D" w:rsidR="00FB59B1" w:rsidRPr="00F52591" w:rsidRDefault="00D30E81" w:rsidP="001C2768">
      <w:pPr>
        <w:numPr>
          <w:ilvl w:val="0"/>
          <w:numId w:val="67"/>
        </w:numPr>
        <w:spacing w:before="100" w:beforeAutospacing="1" w:after="100" w:afterAutospacing="1" w:line="240" w:lineRule="auto"/>
        <w:ind w:left="851" w:hanging="567"/>
        <w:jc w:val="both"/>
        <w:rPr>
          <w:szCs w:val="24"/>
        </w:rPr>
      </w:pPr>
      <w:r>
        <w:t xml:space="preserve">za odpovedi iz točk (c), (e) do (j) člena II.17.2.1: na dan po tem, ko upravičenec prejme </w:t>
      </w:r>
      <w:r>
        <w:rPr>
          <w:i/>
        </w:rPr>
        <w:t>uradno obvestilo</w:t>
      </w:r>
      <w:r>
        <w:t xml:space="preserve"> o odpovedi, kot je navedeno v drugem pododstavku (tj. v 2. koraku zgoraj).</w:t>
      </w:r>
    </w:p>
    <w:p w14:paraId="3BBB8C71" w14:textId="77777777" w:rsidR="00D30E81" w:rsidRPr="00D06D68" w:rsidRDefault="00D30E81" w:rsidP="00797757">
      <w:pPr>
        <w:pStyle w:val="Heading3"/>
        <w:spacing w:before="100" w:beforeAutospacing="1" w:after="100" w:afterAutospacing="1"/>
      </w:pPr>
      <w:bookmarkStart w:id="102" w:name="_Toc441250854"/>
      <w:bookmarkStart w:id="103" w:name="_Toc1637192"/>
      <w:bookmarkStart w:id="104" w:name="_Toc30751979"/>
      <w:r>
        <w:t>II.17.3</w:t>
      </w:r>
      <w:r>
        <w:tab/>
        <w:t>Posledice odpovedi</w:t>
      </w:r>
      <w:bookmarkEnd w:id="102"/>
      <w:bookmarkEnd w:id="103"/>
      <w:bookmarkEnd w:id="104"/>
    </w:p>
    <w:p w14:paraId="3BBB8C74" w14:textId="1992988E" w:rsidR="00D30E81" w:rsidRPr="004264AF" w:rsidRDefault="00C80215" w:rsidP="00797757">
      <w:pPr>
        <w:spacing w:before="100" w:beforeAutospacing="1" w:after="100" w:afterAutospacing="1" w:line="240" w:lineRule="auto"/>
        <w:jc w:val="both"/>
        <w:rPr>
          <w:szCs w:val="24"/>
        </w:rPr>
      </w:pPr>
      <w:r>
        <w:t xml:space="preserve"> V 60 koledarskih dneh od dne, na katerega odpoved začne učinkovati, mora upravičenec predložiti zahtevek za plačilo razlike, kot je določeno v členu I.4.4.</w:t>
      </w:r>
    </w:p>
    <w:p w14:paraId="3BBB8C75" w14:textId="0D9B7EDB" w:rsidR="00D30E81" w:rsidRPr="004264AF" w:rsidRDefault="00D30E81" w:rsidP="00797757">
      <w:pPr>
        <w:spacing w:before="100" w:beforeAutospacing="1" w:after="100" w:afterAutospacing="1" w:line="240" w:lineRule="auto"/>
        <w:jc w:val="both"/>
        <w:rPr>
          <w:szCs w:val="24"/>
        </w:rPr>
      </w:pPr>
      <w:r>
        <w:t>Če Komisija ne prejme zahtevka za plačilo razlike do zgoraj navedenega roka, se iz nepovratnih sredstev povrnejo ali krijejo le stroški ali prispevki, ki so vključeni v odobreno tehnično poročilo in po potrebi v odobreni računovodski izkaz.</w:t>
      </w:r>
    </w:p>
    <w:p w14:paraId="3BBB8C76" w14:textId="27F343B3" w:rsidR="00D30E81" w:rsidRPr="004264AF" w:rsidRDefault="00D30E81" w:rsidP="00797757">
      <w:pPr>
        <w:spacing w:before="100" w:beforeAutospacing="1" w:after="100" w:afterAutospacing="1" w:line="240" w:lineRule="auto"/>
        <w:jc w:val="both"/>
        <w:rPr>
          <w:szCs w:val="24"/>
        </w:rPr>
      </w:pPr>
      <w:r>
        <w:t>Če sporazum odpove Komisija, ker je upravičenec kršil svojo obveznost predložitve zahtevka za plačilo, upravičenec ne sme predložiti nobenega zahtevka za plačilo po odpovedi. V tem primeru se uporablja drugi pododstavek.</w:t>
      </w:r>
    </w:p>
    <w:p w14:paraId="3BBB8C7D" w14:textId="09FB2958" w:rsidR="00D30E81" w:rsidRPr="004264AF" w:rsidRDefault="00D30E81" w:rsidP="00797757">
      <w:pPr>
        <w:spacing w:before="100" w:beforeAutospacing="1" w:after="100" w:afterAutospacing="1" w:line="240" w:lineRule="auto"/>
        <w:jc w:val="both"/>
        <w:rPr>
          <w:szCs w:val="24"/>
        </w:rPr>
      </w:pPr>
      <w:r>
        <w:t>Komisija izračuna končni znesek nepovratnih sredstev iz člena II.25 in razliko iz člena I.</w:t>
      </w:r>
      <w:r w:rsidR="00AE6D9E">
        <w:t>4</w:t>
      </w:r>
      <w:r>
        <w:t>.</w:t>
      </w:r>
      <w:r w:rsidR="00AE6D9E">
        <w:t>5</w:t>
      </w:r>
      <w:r>
        <w:t xml:space="preserve"> na podlagi predloženih poročil. Upoštevati je treba samo dejavnosti, ki se izvedejo pred datumom začetka učinkovanja odpovedi ali končnim datumom </w:t>
      </w:r>
      <w:r>
        <w:rPr>
          <w:i/>
        </w:rPr>
        <w:t>obdobja izvajanja</w:t>
      </w:r>
      <w:r>
        <w:t>, kot je navedeno v členu I.2.2, pri čemer velja zgodnejši datum. Kadar so nepovratna sredstva v obliki povračila dejansko nastalih stroškov, kot je določeno v členu I.3.2(a)(i), se iz nepovratnih sredstev povrnejo oziroma krijejo samo stroški, ki nastanejo, preden odpoved začne učinkovati. Stroški, povezani s pogodbami, ki jih je treba izvršiti šele po odpovedi, se ne upoštevajo in se ne povrnejo ali krijejo iz nepovratnih sredstev.</w:t>
      </w:r>
    </w:p>
    <w:p w14:paraId="3BBB8C7E" w14:textId="77777777" w:rsidR="00D30E81" w:rsidRPr="004264AF" w:rsidRDefault="00D30E81" w:rsidP="001C2768">
      <w:pPr>
        <w:spacing w:before="100" w:beforeAutospacing="1" w:after="0" w:line="240" w:lineRule="auto"/>
        <w:jc w:val="both"/>
        <w:rPr>
          <w:szCs w:val="24"/>
        </w:rPr>
      </w:pPr>
      <w:r>
        <w:t xml:space="preserve">Komisija lahko zniža nepovratna sredstva v skladu s členom II.25.4 v primeru: </w:t>
      </w:r>
    </w:p>
    <w:p w14:paraId="3BBB8C7F" w14:textId="77777777" w:rsidR="00D30E81" w:rsidRPr="004264AF" w:rsidRDefault="00D30E81" w:rsidP="001C2768">
      <w:pPr>
        <w:numPr>
          <w:ilvl w:val="0"/>
          <w:numId w:val="69"/>
        </w:numPr>
        <w:spacing w:after="100" w:afterAutospacing="1" w:line="240" w:lineRule="auto"/>
        <w:ind w:left="851" w:hanging="567"/>
        <w:jc w:val="both"/>
        <w:rPr>
          <w:szCs w:val="24"/>
        </w:rPr>
      </w:pPr>
      <w:r>
        <w:t>nepravilne odpovedi sporazuma s strani upravičenca v smislu člena II.17.1 ali</w:t>
      </w:r>
    </w:p>
    <w:p w14:paraId="3BBB8C80" w14:textId="2B6497C9" w:rsidR="00D30E81" w:rsidRPr="004264AF" w:rsidRDefault="00D30E81" w:rsidP="00BC0446">
      <w:pPr>
        <w:numPr>
          <w:ilvl w:val="0"/>
          <w:numId w:val="69"/>
        </w:numPr>
        <w:spacing w:before="100" w:beforeAutospacing="1" w:after="100" w:afterAutospacing="1" w:line="240" w:lineRule="auto"/>
        <w:ind w:left="851" w:hanging="567"/>
        <w:jc w:val="both"/>
        <w:rPr>
          <w:szCs w:val="24"/>
        </w:rPr>
      </w:pPr>
      <w:r>
        <w:t>odpovedi sporazuma s strani Komisije zaradi katerega koli razloga iz točk (b) do (j) člena II.17.2.1.</w:t>
      </w:r>
    </w:p>
    <w:p w14:paraId="3BBB8C81" w14:textId="77777777" w:rsidR="00D30E81" w:rsidRPr="004264AF" w:rsidRDefault="00D30E81" w:rsidP="00797757">
      <w:pPr>
        <w:spacing w:before="100" w:beforeAutospacing="1" w:after="100" w:afterAutospacing="1" w:line="240" w:lineRule="auto"/>
        <w:jc w:val="both"/>
        <w:rPr>
          <w:szCs w:val="24"/>
        </w:rPr>
      </w:pPr>
      <w:r>
        <w:t>Nobena stranka ne more zahtevati odškodnine na podlagi dejstva, da je druga stranka odpovedala sporazum.</w:t>
      </w:r>
    </w:p>
    <w:p w14:paraId="3BBB8C82" w14:textId="77777777" w:rsidR="00D30E81" w:rsidRPr="004264AF" w:rsidRDefault="00D30E81" w:rsidP="00797757">
      <w:pPr>
        <w:spacing w:before="100" w:beforeAutospacing="1" w:after="100" w:afterAutospacing="1" w:line="240" w:lineRule="auto"/>
        <w:jc w:val="both"/>
        <w:rPr>
          <w:szCs w:val="24"/>
        </w:rPr>
      </w:pPr>
      <w:r>
        <w:t>Po odpovedi se obveznosti upravičenca uporabljajo še naprej, zlasti tiste iz členov I.4, II.6, II.8, II.9, II.14, II.27 in katerih koli dodatnih določb o uporabi rezultatov, kot je določeno v posebnih pogojih.</w:t>
      </w:r>
    </w:p>
    <w:p w14:paraId="3BBB8C83" w14:textId="4C36BE31" w:rsidR="00D30E81" w:rsidRPr="001A04C2" w:rsidRDefault="0093695C" w:rsidP="00797757">
      <w:pPr>
        <w:pStyle w:val="Heading2"/>
        <w:spacing w:before="100" w:beforeAutospacing="1" w:after="100" w:afterAutospacing="1"/>
      </w:pPr>
      <w:bookmarkStart w:id="105" w:name="_Toc441250855"/>
      <w:bookmarkStart w:id="106" w:name="_Toc1637193"/>
      <w:bookmarkStart w:id="107" w:name="_Toc30751980"/>
      <w:r>
        <w:t>ČLEN II.18 – PRAVO, KI SE UPORABLJA, REŠEVANJE SPOROV IN IZVRŠLJIVI SKLEPI</w:t>
      </w:r>
      <w:bookmarkEnd w:id="105"/>
      <w:bookmarkEnd w:id="106"/>
      <w:bookmarkEnd w:id="107"/>
    </w:p>
    <w:p w14:paraId="3BBB8C84" w14:textId="77777777" w:rsidR="00D30E81" w:rsidRPr="004264AF" w:rsidRDefault="00D30E81" w:rsidP="00797757">
      <w:pPr>
        <w:spacing w:before="100" w:beforeAutospacing="1" w:after="100" w:afterAutospacing="1" w:line="240" w:lineRule="auto"/>
        <w:ind w:left="851" w:hanging="851"/>
        <w:jc w:val="both"/>
        <w:rPr>
          <w:szCs w:val="24"/>
        </w:rPr>
      </w:pPr>
      <w:r>
        <w:rPr>
          <w:b/>
        </w:rPr>
        <w:t>II.18.1</w:t>
      </w:r>
      <w:r>
        <w:tab/>
        <w:t>Ta sporazum ureja veljavno pravo Unije, ki ga po potrebi dopolnjuje pravo Belgije.</w:t>
      </w:r>
    </w:p>
    <w:p w14:paraId="3BBB8C85" w14:textId="77777777" w:rsidR="00D30E81" w:rsidRPr="004264AF" w:rsidRDefault="00D30E81" w:rsidP="00797757">
      <w:pPr>
        <w:spacing w:before="100" w:beforeAutospacing="1" w:after="100" w:afterAutospacing="1" w:line="240" w:lineRule="auto"/>
        <w:ind w:left="851" w:hanging="851"/>
        <w:jc w:val="both"/>
        <w:rPr>
          <w:szCs w:val="24"/>
        </w:rPr>
      </w:pPr>
      <w:r>
        <w:rPr>
          <w:b/>
        </w:rPr>
        <w:t>II.18.2</w:t>
      </w:r>
      <w:r>
        <w:tab/>
        <w:t>V skladu s členom 272 PDEU je Splošno sodišče ali, ob pritožbi, Sodišče Evropske unije izključno pristojno za spore med Unijo in katerim koli upravičencem v zvezi z razlago, uporabo ali veljavnostjo sporazuma, če takega spora ni mogoče rešiti sporazumno.</w:t>
      </w:r>
    </w:p>
    <w:p w14:paraId="3BBB8C86" w14:textId="77777777" w:rsidR="00D30E81" w:rsidRPr="004264AF" w:rsidRDefault="00D30E81" w:rsidP="00797757">
      <w:pPr>
        <w:spacing w:before="100" w:beforeAutospacing="1" w:after="100" w:afterAutospacing="1" w:line="240" w:lineRule="auto"/>
        <w:ind w:left="851" w:hanging="851"/>
        <w:jc w:val="both"/>
        <w:rPr>
          <w:szCs w:val="24"/>
        </w:rPr>
      </w:pPr>
      <w:r>
        <w:rPr>
          <w:b/>
        </w:rPr>
        <w:t>II.18.3</w:t>
      </w:r>
      <w:r>
        <w:tab/>
        <w:t>V skladu s</w:t>
      </w:r>
      <w:r>
        <w:rPr>
          <w:b/>
        </w:rPr>
        <w:t xml:space="preserve"> </w:t>
      </w:r>
      <w:r>
        <w:t>členom 299 PDEU lahko za namene izterjave v smislu člena II.26 Komisija sprejme izvršljiv sklep, s katerim naloži denarne obveznosti subjektom, ki niso države.</w:t>
      </w:r>
    </w:p>
    <w:p w14:paraId="3BBB8C87" w14:textId="77777777" w:rsidR="00D30E81" w:rsidRPr="004264AF" w:rsidRDefault="00D30E81" w:rsidP="00797757">
      <w:pPr>
        <w:spacing w:before="100" w:beforeAutospacing="1" w:after="100" w:afterAutospacing="1" w:line="240" w:lineRule="auto"/>
        <w:ind w:left="851"/>
        <w:jc w:val="both"/>
        <w:rPr>
          <w:szCs w:val="24"/>
        </w:rPr>
      </w:pPr>
      <w:r>
        <w:t xml:space="preserve">Zoper tak sklep se lahko vloži </w:t>
      </w:r>
      <w:r>
        <w:rPr>
          <w:i/>
        </w:rPr>
        <w:t>tožba</w:t>
      </w:r>
      <w:r>
        <w:t xml:space="preserve"> pri Splošnem sodišču Evropske unije v skladu s členom 263 PDEU.</w:t>
      </w:r>
    </w:p>
    <w:p w14:paraId="3BBB8C88" w14:textId="77777777" w:rsidR="00D30E81" w:rsidRPr="004264AF" w:rsidRDefault="00D30E81" w:rsidP="00797757">
      <w:pPr>
        <w:adjustRightInd w:val="0"/>
        <w:spacing w:before="100" w:beforeAutospacing="1" w:after="100" w:afterAutospacing="1" w:line="240" w:lineRule="auto"/>
        <w:ind w:left="851"/>
        <w:jc w:val="both"/>
        <w:rPr>
          <w:szCs w:val="24"/>
        </w:rPr>
        <w:sectPr w:rsidR="00D30E81" w:rsidRPr="004264AF" w:rsidSect="006825F6">
          <w:headerReference w:type="default" r:id="rId11"/>
          <w:footerReference w:type="default" r:id="rId12"/>
          <w:pgSz w:w="11906" w:h="16838" w:code="9"/>
          <w:pgMar w:top="1304" w:right="1418" w:bottom="1134" w:left="1418" w:header="567" w:footer="225" w:gutter="0"/>
          <w:cols w:space="708"/>
          <w:docGrid w:linePitch="360"/>
        </w:sectPr>
      </w:pPr>
    </w:p>
    <w:p w14:paraId="3BBB8C89" w14:textId="77777777" w:rsidR="00D30E81" w:rsidRPr="00D06D68" w:rsidRDefault="00D30E81" w:rsidP="00797757">
      <w:pPr>
        <w:pStyle w:val="Heading1"/>
        <w:spacing w:before="100" w:beforeAutospacing="1" w:after="100" w:afterAutospacing="1"/>
        <w:jc w:val="both"/>
        <w:rPr>
          <w:rFonts w:ascii="Times New Roman" w:hAnsi="Times New Roman"/>
        </w:rPr>
      </w:pPr>
      <w:bookmarkStart w:id="108" w:name="_Toc441250856"/>
      <w:bookmarkStart w:id="109" w:name="_Toc1637194"/>
      <w:bookmarkStart w:id="110" w:name="_Toc30751981"/>
      <w:r>
        <w:rPr>
          <w:rFonts w:ascii="Times New Roman" w:hAnsi="Times New Roman"/>
        </w:rPr>
        <w:t>DEL B – FINANČNE DOLOČBE</w:t>
      </w:r>
      <w:bookmarkEnd w:id="108"/>
      <w:bookmarkEnd w:id="109"/>
      <w:bookmarkEnd w:id="110"/>
    </w:p>
    <w:p w14:paraId="3BBB8C8A" w14:textId="592CA585" w:rsidR="00D30E81" w:rsidRPr="001A04C2" w:rsidRDefault="0093695C" w:rsidP="00797757">
      <w:pPr>
        <w:pStyle w:val="Heading2"/>
        <w:spacing w:before="100" w:beforeAutospacing="1" w:after="100" w:afterAutospacing="1"/>
      </w:pPr>
      <w:bookmarkStart w:id="111" w:name="_Toc441250857"/>
      <w:bookmarkStart w:id="112" w:name="_Toc1637195"/>
      <w:bookmarkStart w:id="113" w:name="_Toc30751982"/>
      <w:r>
        <w:t>ČLEN II.19 – UPRAVIČENI STROŠKI</w:t>
      </w:r>
      <w:bookmarkEnd w:id="111"/>
      <w:bookmarkEnd w:id="112"/>
      <w:bookmarkEnd w:id="113"/>
    </w:p>
    <w:p w14:paraId="3BBB8C8B" w14:textId="77777777" w:rsidR="00D30E81" w:rsidRPr="00D06D68" w:rsidRDefault="00D30E81" w:rsidP="00797757">
      <w:pPr>
        <w:pStyle w:val="Heading3"/>
        <w:spacing w:before="100" w:beforeAutospacing="1" w:after="100" w:afterAutospacing="1"/>
      </w:pPr>
      <w:bookmarkStart w:id="114" w:name="_Toc441250858"/>
      <w:bookmarkStart w:id="115" w:name="_Toc1637196"/>
      <w:bookmarkStart w:id="116" w:name="_Toc30751983"/>
      <w:r>
        <w:t>II.19.1</w:t>
      </w:r>
      <w:r>
        <w:tab/>
        <w:t>Pogoji za upravičenost stroškov</w:t>
      </w:r>
      <w:bookmarkEnd w:id="114"/>
      <w:bookmarkEnd w:id="115"/>
      <w:bookmarkEnd w:id="116"/>
    </w:p>
    <w:p w14:paraId="3BBB8C8C" w14:textId="77777777" w:rsidR="00D30E81" w:rsidRPr="004264AF" w:rsidRDefault="00D30E81" w:rsidP="001C2768">
      <w:pPr>
        <w:spacing w:before="100" w:beforeAutospacing="1" w:after="0" w:line="240" w:lineRule="auto"/>
        <w:jc w:val="both"/>
        <w:rPr>
          <w:szCs w:val="24"/>
        </w:rPr>
      </w:pPr>
      <w:r>
        <w:rPr>
          <w:i/>
        </w:rPr>
        <w:t>Upravičeni stroški ukrepa</w:t>
      </w:r>
      <w:r>
        <w:t xml:space="preserve"> so stroški, ki so dejansko nastali upravičencu in ki izpolnjujejo naslednja merila:</w:t>
      </w:r>
    </w:p>
    <w:p w14:paraId="3BBB8C8D" w14:textId="1A82121A" w:rsidR="00D30E81" w:rsidRPr="004264AF" w:rsidRDefault="00D30E81" w:rsidP="001C2768">
      <w:pPr>
        <w:numPr>
          <w:ilvl w:val="0"/>
          <w:numId w:val="73"/>
        </w:numPr>
        <w:spacing w:after="100" w:afterAutospacing="1" w:line="240" w:lineRule="auto"/>
        <w:ind w:left="851" w:hanging="567"/>
        <w:jc w:val="both"/>
        <w:rPr>
          <w:szCs w:val="24"/>
        </w:rPr>
      </w:pPr>
      <w:r>
        <w:t xml:space="preserve">nastanejo v </w:t>
      </w:r>
      <w:r>
        <w:rPr>
          <w:i/>
        </w:rPr>
        <w:t>obdobju izvajanja</w:t>
      </w:r>
      <w:r>
        <w:t>, razen stroškov, povezanih z</w:t>
      </w:r>
      <w:r>
        <w:rPr>
          <w:b/>
          <w:i/>
          <w:color w:val="4F81BD"/>
        </w:rPr>
        <w:t xml:space="preserve"> </w:t>
      </w:r>
      <w:r>
        <w:t>zahtevkom za plačilo razlike in ustreznimi dokazili iz člena I.4.4;</w:t>
      </w:r>
    </w:p>
    <w:p w14:paraId="3BBB8C8E" w14:textId="036DCFA4" w:rsidR="00D30E81" w:rsidRPr="004264AF" w:rsidRDefault="00D30E81" w:rsidP="00E6321B">
      <w:pPr>
        <w:numPr>
          <w:ilvl w:val="0"/>
          <w:numId w:val="73"/>
        </w:numPr>
        <w:spacing w:before="100" w:beforeAutospacing="1" w:after="100" w:afterAutospacing="1" w:line="240" w:lineRule="auto"/>
        <w:ind w:left="851" w:hanging="567"/>
        <w:jc w:val="both"/>
        <w:rPr>
          <w:szCs w:val="24"/>
        </w:rPr>
      </w:pPr>
      <w:r>
        <w:t>navedeni so v načrtu proračuna. Načrt proračuna je določen v Prilogi II;</w:t>
      </w:r>
    </w:p>
    <w:p w14:paraId="3BBB8C8F"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t xml:space="preserve">nastanejo v povezavi z </w:t>
      </w:r>
      <w:r>
        <w:rPr>
          <w:i/>
        </w:rPr>
        <w:t>ukrepom</w:t>
      </w:r>
      <w:r>
        <w:t>, kot je opisano v Prilogi I, in so potrebni za njegovo izvedbo;</w:t>
      </w:r>
    </w:p>
    <w:p w14:paraId="3BBB8C90"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t>so določljivi in preverljivi ter zlasti zabeleženi v računovodskih izkazih upravičenca in pripravljeni v skladu z računovodskimi standardi, ki se uporabljajo v državi, kjer ima upravičenec svoj sedež, in v skladu z običajnimi praksami stroškovnega računovodstva upravičenca;</w:t>
      </w:r>
    </w:p>
    <w:p w14:paraId="3BBB8C91"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t>ustrezajo zahtevam davčne in socialne zakonodaje, ki se uporablja, in</w:t>
      </w:r>
    </w:p>
    <w:p w14:paraId="3BBB8C92"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t>so smotrni, utemeljeni in v skladu z načelom dobrega finančnega poslovodenja, zlasti glede gospodarnosti in učinkovitosti.</w:t>
      </w:r>
    </w:p>
    <w:p w14:paraId="3BBB8C93" w14:textId="77777777" w:rsidR="00D30E81" w:rsidRPr="00D06D68" w:rsidRDefault="00D30E81" w:rsidP="00797757">
      <w:pPr>
        <w:pStyle w:val="Heading3"/>
        <w:spacing w:before="100" w:beforeAutospacing="1" w:after="100" w:afterAutospacing="1"/>
      </w:pPr>
      <w:bookmarkStart w:id="117" w:name="_Toc441250859"/>
      <w:bookmarkStart w:id="118" w:name="_Toc1637197"/>
      <w:bookmarkStart w:id="119" w:name="_Toc30751984"/>
      <w:r>
        <w:t>II.19.2</w:t>
      </w:r>
      <w:r>
        <w:tab/>
        <w:t>Upravičeni neposredni stroški</w:t>
      </w:r>
      <w:bookmarkEnd w:id="117"/>
      <w:bookmarkEnd w:id="118"/>
      <w:bookmarkEnd w:id="119"/>
    </w:p>
    <w:p w14:paraId="3BBB8C94"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t xml:space="preserve">Da bi bili </w:t>
      </w:r>
      <w:r>
        <w:rPr>
          <w:i/>
        </w:rPr>
        <w:t>neposredni stroški ukrepa</w:t>
      </w:r>
      <w:r>
        <w:t xml:space="preserve"> upravičeni, morajo izpolnjevati pogoje upravičenosti, določene v členu II.19.1.</w:t>
      </w:r>
    </w:p>
    <w:p w14:paraId="3BBB8C95"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t xml:space="preserve">Upravičeni </w:t>
      </w:r>
      <w:r>
        <w:rPr>
          <w:i/>
        </w:rPr>
        <w:t>neposredni stroški</w:t>
      </w:r>
      <w:r>
        <w:t xml:space="preserve"> so zlasti naslednje kategorije stroškov, če izpolnjujejo pogoje upravičenosti, določene v členu II.19.1, ter naslednje pogoje:</w:t>
      </w:r>
    </w:p>
    <w:p w14:paraId="3BBB8C9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t>(a)</w:t>
      </w:r>
      <w:r>
        <w:tab/>
        <w:t xml:space="preserve">stroški zaposlenih, ki delajo na podlagi pogodbe o zaposlitvi, sklenjene z upravičencem, ali na podlagi enakovrednega akta o imenovanju in so dodeljeni </w:t>
      </w:r>
      <w:r>
        <w:rPr>
          <w:i/>
        </w:rPr>
        <w:t>ukrepu</w:t>
      </w:r>
      <w:r>
        <w:t>, če so ti stroški skladni z običajno plačno politiko upravičenca.</w:t>
      </w:r>
    </w:p>
    <w:p w14:paraId="3BBB8C97"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t>Navedeni stroški vključujejo dejanske plače zaposlenih s prištetimi prispevki za socialno varnost in drugimi zakonsko določenimi stroški, ki so vključeni v plačilo. Prav tako lahko obsegajo tudi dodatna plačila, vključno s plačili na podlagi dodatnih pogodb ne glede na njihovo naravo, če so plačani dosledno, kadar koli je potrebna ista vrsta dela ali strokovnega znanja, in neodvisno od vira uporabljenega financiranja.</w:t>
      </w:r>
    </w:p>
    <w:p w14:paraId="3BBB8C98" w14:textId="77777777" w:rsidR="00D30E81" w:rsidRPr="004264AF" w:rsidRDefault="00D30E81" w:rsidP="001C2768">
      <w:pPr>
        <w:autoSpaceDE w:val="0"/>
        <w:autoSpaceDN w:val="0"/>
        <w:adjustRightInd w:val="0"/>
        <w:spacing w:before="100" w:beforeAutospacing="1" w:line="240" w:lineRule="auto"/>
        <w:ind w:left="851"/>
        <w:jc w:val="both"/>
        <w:rPr>
          <w:szCs w:val="24"/>
        </w:rPr>
      </w:pPr>
      <w:r>
        <w:t>Stroški fizičnih oseb, ki delajo po pogodbi, sklenjeni z upravičencem, ki ni pogodba o zaposlitvi, ali ki jih tretja oseba napoti upravičencu za plačilo, se prav tako lahko vključijo v te stroške zaposlenih, če so izpolnjeni naslednji pogoji:</w:t>
      </w:r>
    </w:p>
    <w:p w14:paraId="1650A822" w14:textId="2C14CAB3" w:rsidR="00DA5A83" w:rsidRPr="00205981" w:rsidRDefault="00F13594" w:rsidP="001C2768">
      <w:pPr>
        <w:numPr>
          <w:ilvl w:val="0"/>
          <w:numId w:val="119"/>
        </w:numPr>
        <w:autoSpaceDE w:val="0"/>
        <w:autoSpaceDN w:val="0"/>
        <w:adjustRightInd w:val="0"/>
        <w:spacing w:after="0" w:line="240" w:lineRule="auto"/>
        <w:ind w:left="1418" w:hanging="567"/>
        <w:contextualSpacing/>
        <w:jc w:val="both"/>
        <w:rPr>
          <w:szCs w:val="24"/>
        </w:rPr>
      </w:pPr>
      <w:r>
        <w:t>oseba dela pod pogoji, ki so podobni pogojem, pod katerimi dela zaposleni (zlasti glede načina organizacije dela, nalog, ki se opravljajo, in prostorov, v katerih se te naloge opravljajo);</w:t>
      </w:r>
    </w:p>
    <w:p w14:paraId="4CAAEA28" w14:textId="2510F340" w:rsidR="00F13594" w:rsidRDefault="00F13594" w:rsidP="001C2768">
      <w:pPr>
        <w:numPr>
          <w:ilvl w:val="0"/>
          <w:numId w:val="119"/>
        </w:numPr>
        <w:autoSpaceDE w:val="0"/>
        <w:autoSpaceDN w:val="0"/>
        <w:adjustRightInd w:val="0"/>
        <w:spacing w:after="0" w:line="240" w:lineRule="auto"/>
        <w:ind w:left="1418" w:hanging="567"/>
        <w:contextualSpacing/>
        <w:jc w:val="both"/>
        <w:rPr>
          <w:szCs w:val="24"/>
        </w:rPr>
      </w:pPr>
      <w:r>
        <w:t>rezultati dela pripadajo upravičencu (razen če izjemoma ni sklenjen drugačen dogovor) in</w:t>
      </w:r>
    </w:p>
    <w:p w14:paraId="3BBB8C9B" w14:textId="34B11144" w:rsidR="00D30E81" w:rsidRPr="004264AF" w:rsidRDefault="00D30E81" w:rsidP="001C2768">
      <w:pPr>
        <w:tabs>
          <w:tab w:val="left" w:pos="960"/>
        </w:tabs>
        <w:autoSpaceDE w:val="0"/>
        <w:autoSpaceDN w:val="0"/>
        <w:adjustRightInd w:val="0"/>
        <w:spacing w:line="240" w:lineRule="auto"/>
        <w:ind w:left="1418" w:hanging="567"/>
        <w:jc w:val="both"/>
        <w:rPr>
          <w:szCs w:val="24"/>
        </w:rPr>
      </w:pPr>
      <w:r>
        <w:t>(iii)</w:t>
      </w:r>
      <w:r>
        <w:tab/>
        <w:t>stroški se ne razlikujejo bistveno od stroškov zaposlenih, ki opravljajo podobne naloge po pogodbi o zaposlitvi, sklenjeni z upravičencem;</w:t>
      </w:r>
    </w:p>
    <w:p w14:paraId="3BBB8C9C" w14:textId="77777777" w:rsidR="00D30E81" w:rsidRPr="004264AF" w:rsidRDefault="00D30E81" w:rsidP="00E6321B">
      <w:pPr>
        <w:spacing w:before="100" w:beforeAutospacing="1" w:after="100" w:afterAutospacing="1" w:line="240" w:lineRule="auto"/>
        <w:ind w:left="851" w:hanging="567"/>
        <w:jc w:val="both"/>
        <w:rPr>
          <w:szCs w:val="24"/>
        </w:rPr>
      </w:pPr>
      <w:r>
        <w:t>(b)</w:t>
      </w:r>
      <w:r>
        <w:tab/>
        <w:t>potni stroški in dnevnice, če so v skladu z običajno prakso upravičenca glede potnih stroškov;</w:t>
      </w:r>
    </w:p>
    <w:p w14:paraId="3BBB8C9D"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t>(c)</w:t>
      </w:r>
      <w:r>
        <w:tab/>
        <w:t>stroški amortizacije opreme ali drugih sredstev (novih ali rabljenih), kot so knjiženi v računovodskih izkazih upravičenca, če so bila sredstva:</w:t>
      </w:r>
    </w:p>
    <w:p w14:paraId="3BBB8C9E" w14:textId="07F02830" w:rsidR="00D30E81" w:rsidRPr="001C2768" w:rsidRDefault="00D30E81" w:rsidP="001C2768">
      <w:pPr>
        <w:pStyle w:val="ListParagraph"/>
        <w:numPr>
          <w:ilvl w:val="0"/>
          <w:numId w:val="124"/>
        </w:numPr>
        <w:autoSpaceDE w:val="0"/>
        <w:autoSpaceDN w:val="0"/>
        <w:adjustRightInd w:val="0"/>
        <w:spacing w:after="0" w:line="240" w:lineRule="auto"/>
        <w:ind w:left="1418" w:hanging="567"/>
        <w:jc w:val="both"/>
      </w:pPr>
      <w:r>
        <w:t>odpisana v skladu z mednarodnimi računovodskimi standardi ter običajno računovodsko prakso upravičenca in</w:t>
      </w:r>
    </w:p>
    <w:p w14:paraId="3BBB8C9F" w14:textId="23425BAF" w:rsidR="00D30E81" w:rsidRPr="001C2768" w:rsidRDefault="00D30E81" w:rsidP="001C2768">
      <w:pPr>
        <w:pStyle w:val="ListParagraph"/>
        <w:numPr>
          <w:ilvl w:val="0"/>
          <w:numId w:val="124"/>
        </w:numPr>
        <w:autoSpaceDE w:val="0"/>
        <w:autoSpaceDN w:val="0"/>
        <w:adjustRightInd w:val="0"/>
        <w:spacing w:after="0" w:line="240" w:lineRule="auto"/>
        <w:ind w:left="1418" w:hanging="567"/>
        <w:jc w:val="both"/>
      </w:pPr>
      <w:r>
        <w:t xml:space="preserve">nabavljena v skladu s členom II.10.1, če je bila nabava opravljena v </w:t>
      </w:r>
      <w:r>
        <w:rPr>
          <w:i/>
        </w:rPr>
        <w:t>obdobju izvajanja</w:t>
      </w:r>
      <w:r>
        <w:t>;</w:t>
      </w:r>
    </w:p>
    <w:p w14:paraId="3BBB8CA0"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t>Stroški najema ali zakupa opreme ali drugih sredstev so prav tako upravičeni, če ne presegajo stroškov amortizacije podobne opreme ali sredstev in ne vključujejo nobenih stroškov financiranja.</w:t>
      </w:r>
    </w:p>
    <w:p w14:paraId="3BBB8CA1"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t xml:space="preserve">Pri določanju upravičenih stroškov se lahko upošteva le tisti del stroškov amortizacije opreme, najema ali zakupa, ki ustreza </w:t>
      </w:r>
      <w:r>
        <w:rPr>
          <w:i/>
        </w:rPr>
        <w:t>obdobju izvajanja</w:t>
      </w:r>
      <w:r>
        <w:t xml:space="preserve"> in stopnji dejanske porabe za namene </w:t>
      </w:r>
      <w:r>
        <w:rPr>
          <w:i/>
        </w:rPr>
        <w:t>ukrepa</w:t>
      </w:r>
      <w:r>
        <w:t xml:space="preserve">. Izjemoma so lahko v skladu s posebnimi pogoji upravičeni celotni stroški nabave opreme, če to upravičujeta narava </w:t>
      </w:r>
      <w:r>
        <w:rPr>
          <w:i/>
        </w:rPr>
        <w:t>ukrepa</w:t>
      </w:r>
      <w:r>
        <w:t xml:space="preserve"> in okvir uporabe opreme ali sredstev;</w:t>
      </w:r>
    </w:p>
    <w:p w14:paraId="3BBB8CA2"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t>(d)</w:t>
      </w:r>
      <w:r>
        <w:tab/>
        <w:t>stroški potrošnega materiala in opreme, če so:</w:t>
      </w:r>
    </w:p>
    <w:p w14:paraId="3BBB8CA3" w14:textId="43C3FC6D" w:rsidR="00D30E81" w:rsidRPr="001C2768" w:rsidRDefault="00D30E81" w:rsidP="001C2768">
      <w:pPr>
        <w:pStyle w:val="ListParagraph"/>
        <w:numPr>
          <w:ilvl w:val="0"/>
          <w:numId w:val="127"/>
        </w:numPr>
        <w:autoSpaceDE w:val="0"/>
        <w:autoSpaceDN w:val="0"/>
        <w:adjustRightInd w:val="0"/>
        <w:spacing w:after="0" w:line="240" w:lineRule="auto"/>
        <w:ind w:left="1418" w:hanging="567"/>
        <w:jc w:val="both"/>
      </w:pPr>
      <w:r>
        <w:t>nabavljeni v skladu s členom II.10.1 in</w:t>
      </w:r>
    </w:p>
    <w:p w14:paraId="3BBB8CA4" w14:textId="50B7AFBF" w:rsidR="00D30E81" w:rsidRPr="001C2768" w:rsidRDefault="00D30E81" w:rsidP="001C2768">
      <w:pPr>
        <w:pStyle w:val="ListParagraph"/>
        <w:numPr>
          <w:ilvl w:val="0"/>
          <w:numId w:val="127"/>
        </w:numPr>
        <w:autoSpaceDE w:val="0"/>
        <w:autoSpaceDN w:val="0"/>
        <w:adjustRightInd w:val="0"/>
        <w:spacing w:line="240" w:lineRule="auto"/>
        <w:ind w:left="1418" w:hanging="567"/>
        <w:jc w:val="both"/>
      </w:pPr>
      <w:r>
        <w:t xml:space="preserve">neposredno dodeljeni </w:t>
      </w:r>
      <w:r>
        <w:rPr>
          <w:i/>
        </w:rPr>
        <w:t>ukrepu</w:t>
      </w:r>
      <w:r>
        <w:t>;</w:t>
      </w:r>
    </w:p>
    <w:p w14:paraId="3BBB8CA5"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t>(e)</w:t>
      </w:r>
      <w:r>
        <w:tab/>
        <w:t xml:space="preserve">stroški, ki izhajajo neposredno iz zahtev sporazuma (razširjanje informacij, posebna ocena </w:t>
      </w:r>
      <w:r>
        <w:rPr>
          <w:i/>
        </w:rPr>
        <w:t>ukrepa</w:t>
      </w:r>
      <w:r>
        <w:t>, revizije, prevodi, razmnoževanje), ter stroški zahtevanih finančnih jamstev, če so zadevne storitve nabavljene v skladu s členom II.10.1;</w:t>
      </w:r>
    </w:p>
    <w:p w14:paraId="3BBB8CA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t>(f)</w:t>
      </w:r>
      <w:r>
        <w:tab/>
        <w:t xml:space="preserve">stroški, ki nastanejo v okviru </w:t>
      </w:r>
      <w:r>
        <w:rPr>
          <w:i/>
        </w:rPr>
        <w:t>pogodb s podizvajalci</w:t>
      </w:r>
      <w:r>
        <w:t xml:space="preserve"> v smislu člena II.11, če so izpolnjeni pogoji iz člena II.11.1(a), (b), (c) in (d);</w:t>
      </w:r>
    </w:p>
    <w:p w14:paraId="3BBB8CA7"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t>(g)</w:t>
      </w:r>
      <w:r>
        <w:tab/>
        <w:t>stroški finančne podpore tretjim osebam v smislu člena II.12, če so izpolnjeni pogoji, določeni v navedenem členu;</w:t>
      </w:r>
    </w:p>
    <w:p w14:paraId="3BBB8CA8"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t xml:space="preserve">(h) </w:t>
      </w:r>
      <w:r>
        <w:tab/>
        <w:t xml:space="preserve">dajatve, davki in pristojbine, ki jih plača upravičenec, zlasti davek na dodano vrednost (v nadaljnjem besedilu: DDV), če so vključeni v upravičene </w:t>
      </w:r>
      <w:r>
        <w:rPr>
          <w:i/>
        </w:rPr>
        <w:t>neposredne stroške</w:t>
      </w:r>
      <w:r>
        <w:t>, razen če ni drugače določeno v sporazumu.</w:t>
      </w:r>
    </w:p>
    <w:p w14:paraId="3BBB8CA9" w14:textId="77777777" w:rsidR="00D30E81" w:rsidRPr="00D06D68" w:rsidRDefault="00D30E81" w:rsidP="00797757">
      <w:pPr>
        <w:pStyle w:val="Heading3"/>
        <w:spacing w:before="100" w:beforeAutospacing="1" w:after="100" w:afterAutospacing="1"/>
      </w:pPr>
      <w:bookmarkStart w:id="120" w:name="_Toc441250860"/>
      <w:bookmarkStart w:id="121" w:name="_Toc1637198"/>
      <w:bookmarkStart w:id="122" w:name="_Toc30751985"/>
      <w:r>
        <w:t>II.19.3</w:t>
      </w:r>
      <w:r>
        <w:tab/>
        <w:t>Upravičeni posredni stroški</w:t>
      </w:r>
      <w:bookmarkEnd w:id="120"/>
      <w:bookmarkEnd w:id="121"/>
      <w:bookmarkEnd w:id="122"/>
    </w:p>
    <w:p w14:paraId="3BBB8CAA" w14:textId="77777777" w:rsidR="00D30E81" w:rsidRPr="004264AF" w:rsidRDefault="00D30E81" w:rsidP="00797757">
      <w:pPr>
        <w:spacing w:before="100" w:beforeAutospacing="1" w:after="100" w:afterAutospacing="1" w:line="240" w:lineRule="auto"/>
        <w:jc w:val="both"/>
        <w:rPr>
          <w:szCs w:val="24"/>
        </w:rPr>
      </w:pPr>
      <w:r>
        <w:t xml:space="preserve">Da bi bili </w:t>
      </w:r>
      <w:r>
        <w:rPr>
          <w:i/>
        </w:rPr>
        <w:t>posredni stroški</w:t>
      </w:r>
      <w:r>
        <w:t xml:space="preserve"> </w:t>
      </w:r>
      <w:r>
        <w:rPr>
          <w:i/>
        </w:rPr>
        <w:t>ukrepa</w:t>
      </w:r>
      <w:r>
        <w:t xml:space="preserve"> upravičeni, morajo predstavljati pošteno razdelitev skupnih režijskih stroškov upravičenca in izpolnjevati pogoje upravičenosti, določene v členu II.19.1.</w:t>
      </w:r>
    </w:p>
    <w:p w14:paraId="3BBB8CAB" w14:textId="77777777" w:rsidR="00D30E81" w:rsidRPr="004264AF" w:rsidRDefault="00D30E81" w:rsidP="00797757">
      <w:pPr>
        <w:spacing w:before="100" w:beforeAutospacing="1" w:after="100" w:afterAutospacing="1" w:line="240" w:lineRule="auto"/>
        <w:jc w:val="both"/>
        <w:rPr>
          <w:szCs w:val="24"/>
        </w:rPr>
      </w:pPr>
      <w:r>
        <w:t xml:space="preserve">Upravičene </w:t>
      </w:r>
      <w:r>
        <w:rPr>
          <w:i/>
        </w:rPr>
        <w:t>posredne stroške</w:t>
      </w:r>
      <w:r>
        <w:t xml:space="preserve"> je treba prijaviti na podlagi 7-odstotne pavšalne stopnje skupnih upravičenih </w:t>
      </w:r>
      <w:r>
        <w:rPr>
          <w:i/>
        </w:rPr>
        <w:t>neposrednih stroškov</w:t>
      </w:r>
      <w:r>
        <w:t>, razen če ni drugače določeno v členu I.3.2.</w:t>
      </w:r>
    </w:p>
    <w:p w14:paraId="3BBB8CAC" w14:textId="77777777" w:rsidR="00D30E81" w:rsidRPr="00D06D68" w:rsidRDefault="00D30E81" w:rsidP="00797757">
      <w:pPr>
        <w:pStyle w:val="Heading3"/>
        <w:spacing w:before="100" w:beforeAutospacing="1" w:after="100" w:afterAutospacing="1"/>
      </w:pPr>
      <w:bookmarkStart w:id="123" w:name="_Toc441250861"/>
      <w:bookmarkStart w:id="124" w:name="_Toc1637199"/>
      <w:bookmarkStart w:id="125" w:name="_Toc30751986"/>
      <w:r>
        <w:t>II.19.4</w:t>
      </w:r>
      <w:r>
        <w:tab/>
        <w:t>Neupravičeni stroški</w:t>
      </w:r>
      <w:bookmarkEnd w:id="123"/>
      <w:bookmarkEnd w:id="124"/>
      <w:bookmarkEnd w:id="125"/>
    </w:p>
    <w:p w14:paraId="3BBB8CAD" w14:textId="77777777" w:rsidR="00D30E81" w:rsidRPr="004264AF" w:rsidRDefault="00D30E81" w:rsidP="001C2768">
      <w:pPr>
        <w:spacing w:before="100" w:beforeAutospacing="1" w:after="0" w:line="240" w:lineRule="auto"/>
        <w:jc w:val="both"/>
        <w:rPr>
          <w:szCs w:val="24"/>
        </w:rPr>
      </w:pPr>
      <w:r>
        <w:t>Poleg vseh drugih stroškov, ki ne izpolnjujejo pogojev iz člena II.19.1, se naslednji stroški ne smejo šteti za upravičene:</w:t>
      </w:r>
    </w:p>
    <w:p w14:paraId="3BBB8CAE" w14:textId="77777777" w:rsidR="00D30E81" w:rsidRPr="004264AF" w:rsidRDefault="00D30E81" w:rsidP="001C2768">
      <w:pPr>
        <w:numPr>
          <w:ilvl w:val="0"/>
          <w:numId w:val="74"/>
        </w:numPr>
        <w:spacing w:after="100" w:afterAutospacing="1" w:line="240" w:lineRule="auto"/>
        <w:ind w:left="851" w:hanging="567"/>
        <w:jc w:val="both"/>
        <w:rPr>
          <w:szCs w:val="24"/>
        </w:rPr>
      </w:pPr>
      <w:r>
        <w:t>donos kapitala in dividend, ki jih izplača upravičenec;</w:t>
      </w:r>
    </w:p>
    <w:p w14:paraId="3BBB8CAF"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dolg in stroški servisiranja dolga;</w:t>
      </w:r>
    </w:p>
    <w:p w14:paraId="3BBB8CB0"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rezervacije za izgube ali dolgove;</w:t>
      </w:r>
    </w:p>
    <w:p w14:paraId="3BBB8CB1"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dolgovane obresti;</w:t>
      </w:r>
    </w:p>
    <w:p w14:paraId="3BBB8CB2"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dvomljivi dolgovi;</w:t>
      </w:r>
    </w:p>
    <w:p w14:paraId="3BBB8CB3"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tečajne izgube;</w:t>
      </w:r>
    </w:p>
    <w:p w14:paraId="3BBB8CB4"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stroški nakazil s strani Komisije, ki jih zaračuna banka upravičenca;</w:t>
      </w:r>
    </w:p>
    <w:p w14:paraId="3BBB8CB5" w14:textId="009F9954" w:rsidR="00D30E81" w:rsidRPr="004264AF" w:rsidRDefault="00D30E81" w:rsidP="00E6321B">
      <w:pPr>
        <w:numPr>
          <w:ilvl w:val="0"/>
          <w:numId w:val="74"/>
        </w:numPr>
        <w:spacing w:before="100" w:beforeAutospacing="1" w:after="100" w:afterAutospacing="1" w:line="240" w:lineRule="auto"/>
        <w:ind w:left="851" w:hanging="567"/>
        <w:jc w:val="both"/>
        <w:rPr>
          <w:szCs w:val="24"/>
        </w:rPr>
      </w:pPr>
      <w:r>
        <w:t xml:space="preserve">stroški, ki jih prijavi upravičenec v okviru drugega </w:t>
      </w:r>
      <w:r>
        <w:rPr>
          <w:i/>
        </w:rPr>
        <w:t>ukrepa</w:t>
      </w:r>
      <w:r>
        <w:t xml:space="preserve">, ki prejema nepovratna sredstva, ki se zagotavljajo iz proračuna Unije. Taka nepovratna sredstva vključujejo nepovratna sredstva, ki jih dodeli država članica in se financirajo iz proračuna Unije, in nepovratna sredstva, ki jih dodelijo drugi organi, ki niso Komisija, za namen izvrševanja proračuna Unije. Zlasti če upravičenec prejme nepovratna sredstva za poslovanje, ki se financirajo iz proračuna EU ali Euratoma, ne sme prijaviti </w:t>
      </w:r>
      <w:r>
        <w:rPr>
          <w:i/>
        </w:rPr>
        <w:t>posrednih stroškov</w:t>
      </w:r>
      <w:r>
        <w:t xml:space="preserve"> za obdobje(-a), zajeto(-a) z nepovratnimi sredstvi za poslovanje, razen če lahko dokaže, da nepovratna sredstva za poslovanje ne krijejo nobenih stroškov </w:t>
      </w:r>
      <w:r>
        <w:rPr>
          <w:i/>
        </w:rPr>
        <w:t>ukrepa</w:t>
      </w:r>
      <w:r>
        <w:t>;</w:t>
      </w:r>
    </w:p>
    <w:p w14:paraId="3BBB8CB6"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prispevki v naravi s strani tretjih oseb;</w:t>
      </w:r>
    </w:p>
    <w:p w14:paraId="3BBB8CB7"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čezmerni ali nepremišljeni izdatki;</w:t>
      </w:r>
    </w:p>
    <w:p w14:paraId="3BBB8CB8"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odbitni DDV.</w:t>
      </w:r>
    </w:p>
    <w:p w14:paraId="3BBB8CB9" w14:textId="3B7283C1" w:rsidR="00D30E81" w:rsidRPr="001A04C2" w:rsidRDefault="0093695C" w:rsidP="00797757">
      <w:pPr>
        <w:pStyle w:val="Heading2"/>
        <w:spacing w:before="100" w:beforeAutospacing="1" w:after="100" w:afterAutospacing="1"/>
      </w:pPr>
      <w:bookmarkStart w:id="126" w:name="_Toc441250862"/>
      <w:bookmarkStart w:id="127" w:name="_Toc1637200"/>
      <w:bookmarkStart w:id="128" w:name="_Toc30751987"/>
      <w:r>
        <w:t>ČLEN II.20 – DOLOČLJIVOST IN PREVERLJIVOST PRIJAVLJENIH ZNESKOV</w:t>
      </w:r>
      <w:bookmarkEnd w:id="126"/>
      <w:bookmarkEnd w:id="127"/>
      <w:bookmarkEnd w:id="128"/>
    </w:p>
    <w:p w14:paraId="3BBB8CBA" w14:textId="77777777" w:rsidR="00D30E81" w:rsidRPr="00D06D68" w:rsidRDefault="00D30E81" w:rsidP="00797757">
      <w:pPr>
        <w:pStyle w:val="Heading3"/>
        <w:spacing w:before="100" w:beforeAutospacing="1" w:after="100" w:afterAutospacing="1"/>
      </w:pPr>
      <w:bookmarkStart w:id="129" w:name="_Toc441250863"/>
      <w:bookmarkStart w:id="130" w:name="_Toc1637201"/>
      <w:bookmarkStart w:id="131" w:name="_Toc30751988"/>
      <w:r>
        <w:t>II.20.1 Prijavljanje stroškov in prispevkov</w:t>
      </w:r>
      <w:bookmarkEnd w:id="129"/>
      <w:bookmarkEnd w:id="130"/>
      <w:bookmarkEnd w:id="131"/>
    </w:p>
    <w:p w14:paraId="3BBB8CBB" w14:textId="77777777" w:rsidR="00D30E81" w:rsidRPr="004264AF" w:rsidRDefault="00F61875" w:rsidP="00797757">
      <w:pPr>
        <w:spacing w:before="100" w:beforeAutospacing="1" w:after="100" w:afterAutospacing="1" w:line="240" w:lineRule="auto"/>
        <w:jc w:val="both"/>
        <w:rPr>
          <w:szCs w:val="24"/>
        </w:rPr>
      </w:pPr>
      <w:r>
        <w:t>Vsak upravičenec mora kot upravičene stroške ali kot zahtevani prispevek prijaviti:</w:t>
      </w:r>
    </w:p>
    <w:p w14:paraId="3BBB8CBC" w14:textId="77777777" w:rsidR="00D30E81" w:rsidRPr="004264AF" w:rsidRDefault="00D30E81" w:rsidP="001C2768">
      <w:pPr>
        <w:numPr>
          <w:ilvl w:val="0"/>
          <w:numId w:val="76"/>
        </w:numPr>
        <w:spacing w:before="240" w:line="240" w:lineRule="auto"/>
        <w:ind w:left="851" w:hanging="567"/>
        <w:jc w:val="both"/>
        <w:rPr>
          <w:szCs w:val="24"/>
        </w:rPr>
      </w:pPr>
      <w:r>
        <w:t>za dejanske</w:t>
      </w:r>
      <w:r>
        <w:rPr>
          <w:i/>
        </w:rPr>
        <w:t xml:space="preserve"> </w:t>
      </w:r>
      <w:r>
        <w:t xml:space="preserve">stroške: stroške, ki jih je dejansko imel z izvajanjem </w:t>
      </w:r>
      <w:r>
        <w:rPr>
          <w:i/>
        </w:rPr>
        <w:t>ukrepa</w:t>
      </w:r>
      <w:r>
        <w:t>;</w:t>
      </w:r>
    </w:p>
    <w:p w14:paraId="3BBB8CBD" w14:textId="77777777" w:rsidR="00D30E81" w:rsidRPr="004264AF" w:rsidRDefault="00D30E81" w:rsidP="001C2768">
      <w:pPr>
        <w:numPr>
          <w:ilvl w:val="0"/>
          <w:numId w:val="76"/>
        </w:numPr>
        <w:spacing w:before="240" w:line="240" w:lineRule="auto"/>
        <w:ind w:left="851" w:hanging="567"/>
        <w:jc w:val="both"/>
        <w:rPr>
          <w:b/>
          <w:szCs w:val="24"/>
        </w:rPr>
      </w:pPr>
      <w:r>
        <w:t>za</w:t>
      </w:r>
      <w:r>
        <w:rPr>
          <w:b/>
        </w:rPr>
        <w:t xml:space="preserve"> </w:t>
      </w:r>
      <w:r>
        <w:t>stroške na enoto ali prispevke na enoto: znesek, ki se izračuna tako, da se znesek na enoto iz člena I.3.2(a)(ii) ali (b) pomnoži z dejanskim številom uporabljenih ali proizvedenih enot;</w:t>
      </w:r>
    </w:p>
    <w:p w14:paraId="3BBB8CBE" w14:textId="09428C61" w:rsidR="00D30E81" w:rsidRPr="004264AF" w:rsidRDefault="00D30E81" w:rsidP="001C2768">
      <w:pPr>
        <w:numPr>
          <w:ilvl w:val="0"/>
          <w:numId w:val="76"/>
        </w:numPr>
        <w:spacing w:before="240" w:line="240" w:lineRule="auto"/>
        <w:ind w:left="851" w:hanging="567"/>
        <w:jc w:val="both"/>
        <w:rPr>
          <w:bCs/>
          <w:szCs w:val="24"/>
        </w:rPr>
      </w:pPr>
      <w:r>
        <w:t xml:space="preserve">za stroške v pavšalnem znesku ali prispevke v pavšalnem znesku: celoten znesek, določen v členu I.3.2(a)(iii) ali (c), če so se ustrezne naloge ali del </w:t>
      </w:r>
      <w:r>
        <w:rPr>
          <w:i/>
        </w:rPr>
        <w:t>ukrepa</w:t>
      </w:r>
      <w:r>
        <w:t>, kot je opisan v Prilogi I</w:t>
      </w:r>
      <w:r w:rsidR="00AE6D9E">
        <w:t>I</w:t>
      </w:r>
      <w:r>
        <w:t>, izvajali pravilno;</w:t>
      </w:r>
    </w:p>
    <w:p w14:paraId="3BBB8CBF" w14:textId="05EF6F64" w:rsidR="00D30E81" w:rsidRDefault="00D30E81" w:rsidP="001C2768">
      <w:pPr>
        <w:numPr>
          <w:ilvl w:val="0"/>
          <w:numId w:val="76"/>
        </w:numPr>
        <w:spacing w:before="240" w:line="240" w:lineRule="auto"/>
        <w:ind w:left="851" w:hanging="567"/>
        <w:jc w:val="both"/>
        <w:rPr>
          <w:szCs w:val="24"/>
        </w:rPr>
      </w:pPr>
      <w:r>
        <w:t>za stroške na podlagi pavšalne stopnje ali prispevke na podlagi pavšalne stopnje: znesek, ki se izračuna z uporabo pavšalne stopnje, določene v členu I.3.2(a)(iv) ali (d);</w:t>
      </w:r>
    </w:p>
    <w:p w14:paraId="4D910940" w14:textId="7CB9E705" w:rsidR="008F4DDB" w:rsidRPr="001C2768" w:rsidRDefault="008F4DDB" w:rsidP="001C2768">
      <w:pPr>
        <w:numPr>
          <w:ilvl w:val="0"/>
          <w:numId w:val="76"/>
        </w:numPr>
        <w:spacing w:before="240" w:line="240" w:lineRule="auto"/>
        <w:ind w:left="851" w:hanging="567"/>
        <w:jc w:val="both"/>
        <w:rPr>
          <w:szCs w:val="24"/>
        </w:rPr>
      </w:pPr>
      <w:r>
        <w:t>za financiranje, ki ni povezano s stroški: celoten znesek, naveden v členu I.3.2(e), če so bili zadevni rezultati ali pogoji, kot so opisani v Prilogi I, ustrezno doseženi ali izpolnjeni;</w:t>
      </w:r>
    </w:p>
    <w:p w14:paraId="3BBB8CC0" w14:textId="77777777" w:rsidR="00D30E81" w:rsidRPr="004264AF" w:rsidRDefault="00D30E81" w:rsidP="001C2768">
      <w:pPr>
        <w:numPr>
          <w:ilvl w:val="0"/>
          <w:numId w:val="76"/>
        </w:numPr>
        <w:spacing w:before="240" w:line="240" w:lineRule="auto"/>
        <w:ind w:left="851" w:hanging="567"/>
        <w:jc w:val="both"/>
        <w:rPr>
          <w:szCs w:val="24"/>
        </w:rPr>
      </w:pPr>
      <w:r>
        <w:t>za stroške na enoto, ki so prijavljeni na podlagi običajnih praks stroškovnega računovodstva upravičenca: znesek, ki se izračuna tako, da se znesek na enoto, izračunan v skladu z običajnimi praksami stroškovnega računovodstva upravičenca, pomnoži z dejanskim številom uporabljenih ali proizvedenih enot;</w:t>
      </w:r>
    </w:p>
    <w:p w14:paraId="3BBB8CC1" w14:textId="77777777" w:rsidR="00D30E81" w:rsidRPr="004264AF" w:rsidRDefault="00D30E81" w:rsidP="001C2768">
      <w:pPr>
        <w:numPr>
          <w:ilvl w:val="0"/>
          <w:numId w:val="76"/>
        </w:numPr>
        <w:spacing w:before="240" w:line="240" w:lineRule="auto"/>
        <w:ind w:left="851" w:hanging="567"/>
        <w:jc w:val="both"/>
        <w:rPr>
          <w:szCs w:val="24"/>
        </w:rPr>
      </w:pPr>
      <w:r>
        <w:t xml:space="preserve">za stroške v pavšalnem znesku, ki so prijavljeni na podlagi običajnih praks stroškovnega računovodstva upravičenca: celoten znesek, izračunan v skladu z njegovimi običajnimi praksami stroškovnega računovodstva, če so se ustrezne naloge ali del </w:t>
      </w:r>
      <w:r>
        <w:rPr>
          <w:i/>
        </w:rPr>
        <w:t>ukrepa</w:t>
      </w:r>
      <w:r>
        <w:t xml:space="preserve"> pravilno izvajali;</w:t>
      </w:r>
    </w:p>
    <w:p w14:paraId="3BBB8CC2" w14:textId="31FA5499" w:rsidR="00D30E81" w:rsidRDefault="00D30E81" w:rsidP="001C2768">
      <w:pPr>
        <w:numPr>
          <w:ilvl w:val="0"/>
          <w:numId w:val="76"/>
        </w:numPr>
        <w:spacing w:before="240" w:line="240" w:lineRule="auto"/>
        <w:ind w:left="851" w:hanging="567"/>
        <w:jc w:val="both"/>
        <w:rPr>
          <w:szCs w:val="24"/>
        </w:rPr>
      </w:pPr>
      <w:r>
        <w:t>za stroške na podlagi pavšalne stopnje, ki so prijavljeni na podlagi običajnih praks stroškovnega računovodstva upravičenca: znesek, ki se izračuna z uporabo pavšalne stopnje, izračunane v skladu z običajnimi praksami stroškovnega računovodstva upravičenca.</w:t>
      </w:r>
    </w:p>
    <w:p w14:paraId="6B8C413A" w14:textId="1270756F" w:rsidR="008863AD" w:rsidRPr="004264AF" w:rsidRDefault="008863AD" w:rsidP="008863AD">
      <w:pPr>
        <w:spacing w:before="240" w:line="240" w:lineRule="auto"/>
        <w:jc w:val="both"/>
        <w:rPr>
          <w:szCs w:val="24"/>
        </w:rPr>
      </w:pPr>
      <w:r>
        <w:t>Za oblike nepovratnih sredstev iz točk (b), (c), (d), (f), (g) in (h) morajo prijavljeni zneski izpolnjevati pogoje iz točk (a) in (b) člena II.19.1.</w:t>
      </w:r>
    </w:p>
    <w:p w14:paraId="3BBB8CC3" w14:textId="4B0EA41B" w:rsidR="00D30E81" w:rsidRPr="00D06D68" w:rsidRDefault="00D30E81" w:rsidP="001C2768">
      <w:pPr>
        <w:pStyle w:val="Heading3"/>
        <w:spacing w:before="100" w:beforeAutospacing="1" w:after="100" w:afterAutospacing="1"/>
        <w:ind w:left="851" w:hanging="851"/>
      </w:pPr>
      <w:bookmarkStart w:id="132" w:name="_Toc441250864"/>
      <w:bookmarkStart w:id="133" w:name="_Toc1637202"/>
      <w:bookmarkStart w:id="134" w:name="_Toc30751989"/>
      <w:r>
        <w:t>II.20.2</w:t>
      </w:r>
      <w:r>
        <w:tab/>
        <w:t>Dokumenti in druga dokazila za utemeljitev prijavljenih stroškov in prispevkov</w:t>
      </w:r>
      <w:bookmarkEnd w:id="132"/>
      <w:bookmarkEnd w:id="133"/>
      <w:bookmarkEnd w:id="134"/>
    </w:p>
    <w:p w14:paraId="3BBB8CC4" w14:textId="77777777" w:rsidR="00D30E81" w:rsidRPr="004264AF" w:rsidRDefault="00F61875" w:rsidP="00797757">
      <w:pPr>
        <w:spacing w:before="100" w:beforeAutospacing="1" w:after="100" w:afterAutospacing="1" w:line="240" w:lineRule="auto"/>
        <w:jc w:val="both"/>
        <w:rPr>
          <w:szCs w:val="24"/>
        </w:rPr>
      </w:pPr>
      <w:r>
        <w:t>Upravičenec mora zagotoviti naslednje, če se od njega tako zahteva pri preverjanjih ali revizijah, opisanih v členu II.27:</w:t>
      </w:r>
    </w:p>
    <w:p w14:paraId="3BBB8CC5" w14:textId="77777777" w:rsidR="00D30E81" w:rsidRPr="004264AF" w:rsidRDefault="00D30E81" w:rsidP="001C2768">
      <w:pPr>
        <w:numPr>
          <w:ilvl w:val="0"/>
          <w:numId w:val="77"/>
        </w:numPr>
        <w:spacing w:before="100" w:beforeAutospacing="1" w:after="0" w:line="240" w:lineRule="auto"/>
        <w:ind w:left="851" w:hanging="567"/>
        <w:jc w:val="both"/>
        <w:rPr>
          <w:b/>
          <w:szCs w:val="24"/>
        </w:rPr>
      </w:pPr>
      <w:r>
        <w:t>za dejanske</w:t>
      </w:r>
      <w:r>
        <w:rPr>
          <w:i/>
        </w:rPr>
        <w:t xml:space="preserve"> </w:t>
      </w:r>
      <w:r>
        <w:t>stroške: ustrezna dokazila, da dokaže prijavljene stroške, kot so pogodbe, računi in računovodske evidence.</w:t>
      </w:r>
    </w:p>
    <w:p w14:paraId="3BBB8CC6" w14:textId="77777777" w:rsidR="00D30E81" w:rsidRPr="004264AF" w:rsidRDefault="00D30E81" w:rsidP="001C2768">
      <w:pPr>
        <w:spacing w:after="100" w:afterAutospacing="1" w:line="240" w:lineRule="auto"/>
        <w:ind w:left="851"/>
        <w:jc w:val="both"/>
        <w:rPr>
          <w:szCs w:val="24"/>
        </w:rPr>
      </w:pPr>
      <w:r>
        <w:t>Poleg tega morajo običajni računovodski postopki in postopki notranjega nadzora upravičenca omogočati neposredno uskladitev prijavljenih zneskov z zneski, knjiženimi v njegovih računovodskih izkazih, in zneski, navedenimi v dokazilih;</w:t>
      </w:r>
    </w:p>
    <w:p w14:paraId="3BBB8CC7" w14:textId="77777777" w:rsidR="00D30E81" w:rsidRPr="004264AF" w:rsidRDefault="00D30E81" w:rsidP="001C2768">
      <w:pPr>
        <w:numPr>
          <w:ilvl w:val="0"/>
          <w:numId w:val="77"/>
        </w:numPr>
        <w:spacing w:before="100" w:beforeAutospacing="1" w:after="0" w:line="240" w:lineRule="auto"/>
        <w:ind w:left="851" w:hanging="567"/>
        <w:jc w:val="both"/>
        <w:rPr>
          <w:szCs w:val="24"/>
        </w:rPr>
      </w:pPr>
      <w:r>
        <w:t>za stroške na enoto ali prispevke na enoto: ustrezna dokazila, da dokaže število prijavljenih enot.</w:t>
      </w:r>
    </w:p>
    <w:p w14:paraId="3BBB8CC8" w14:textId="77777777" w:rsidR="00D30E81" w:rsidRPr="004264AF" w:rsidRDefault="00D30E81" w:rsidP="001C2768">
      <w:pPr>
        <w:spacing w:after="100" w:afterAutospacing="1" w:line="240" w:lineRule="auto"/>
        <w:ind w:left="851"/>
        <w:jc w:val="both"/>
        <w:rPr>
          <w:szCs w:val="24"/>
        </w:rPr>
      </w:pPr>
      <w:r>
        <w:t>Upravičencu ni treba opredeliti dejanskih kritih upravičenih stroškov ali predložiti dokazil, kot so računovodski izkazi, da dokaže znesek, prijavljen na enoto;</w:t>
      </w:r>
    </w:p>
    <w:p w14:paraId="3BBB8CC9" w14:textId="77777777" w:rsidR="00D30E81" w:rsidRPr="004264AF" w:rsidRDefault="00D30E81" w:rsidP="001C2768">
      <w:pPr>
        <w:numPr>
          <w:ilvl w:val="0"/>
          <w:numId w:val="77"/>
        </w:numPr>
        <w:spacing w:before="100" w:beforeAutospacing="1" w:after="0" w:line="240" w:lineRule="auto"/>
        <w:ind w:left="851" w:hanging="567"/>
        <w:jc w:val="both"/>
        <w:rPr>
          <w:szCs w:val="24"/>
        </w:rPr>
      </w:pPr>
      <w:r>
        <w:t xml:space="preserve">za stroške v pavšalnem znesku ali prispevke v pavšalnem znesku: ustrezna dokazila, da dokaže pravilno izvajanje </w:t>
      </w:r>
      <w:r>
        <w:rPr>
          <w:i/>
        </w:rPr>
        <w:t>ukrepa</w:t>
      </w:r>
      <w:r>
        <w:t>.</w:t>
      </w:r>
    </w:p>
    <w:p w14:paraId="3BBB8CCA" w14:textId="77777777" w:rsidR="00D30E81" w:rsidRPr="004264AF" w:rsidRDefault="00D30E81" w:rsidP="001C2768">
      <w:pPr>
        <w:spacing w:after="100" w:afterAutospacing="1" w:line="240" w:lineRule="auto"/>
        <w:ind w:left="851"/>
        <w:jc w:val="both"/>
        <w:rPr>
          <w:szCs w:val="24"/>
        </w:rPr>
      </w:pPr>
      <w:r>
        <w:t>Upravičencu ni treba opredeliti dejanskih kritih upravičenih stroškov ali predložiti dokazil, kot so računovodski izkazi, da dokaže znesek, prijavljen kot pavšalni znesek;</w:t>
      </w:r>
    </w:p>
    <w:p w14:paraId="3BBB8CCB" w14:textId="77777777" w:rsidR="00D30E81" w:rsidRPr="004264AF" w:rsidRDefault="00D30E81" w:rsidP="001C2768">
      <w:pPr>
        <w:numPr>
          <w:ilvl w:val="0"/>
          <w:numId w:val="77"/>
        </w:numPr>
        <w:spacing w:before="100" w:beforeAutospacing="1" w:after="0" w:line="240" w:lineRule="auto"/>
        <w:ind w:left="851" w:hanging="567"/>
        <w:jc w:val="both"/>
        <w:rPr>
          <w:szCs w:val="24"/>
        </w:rPr>
      </w:pPr>
      <w:r>
        <w:t>za stroške na podlagi pavšalne stopnje ali prispevke na podlagi pavšalne stopnje: ustrezna dokazila, da dokaže upravičene stroške ali zahtevani prispevek, za katerega se uporablja pavšalna stopnja.</w:t>
      </w:r>
    </w:p>
    <w:p w14:paraId="1A7DF0B5" w14:textId="77777777" w:rsidR="008F4DDB" w:rsidRDefault="00D30E81" w:rsidP="001C2768">
      <w:pPr>
        <w:spacing w:after="0" w:line="240" w:lineRule="auto"/>
        <w:ind w:left="851"/>
        <w:jc w:val="both"/>
        <w:rPr>
          <w:szCs w:val="24"/>
        </w:rPr>
      </w:pPr>
      <w:r>
        <w:t xml:space="preserve">Upravičencu ni treba opredeliti dejanskih kritih upravičenih stroškov ali predložiti dokazil, kot so računovodski izkazi, za uporabljeno pavšalno stopnjo;   </w:t>
      </w:r>
    </w:p>
    <w:p w14:paraId="38422C10" w14:textId="77777777" w:rsidR="008F4DDB" w:rsidRPr="004B4FFD" w:rsidRDefault="008F4DDB" w:rsidP="001C2768">
      <w:pPr>
        <w:numPr>
          <w:ilvl w:val="0"/>
          <w:numId w:val="77"/>
        </w:numPr>
        <w:spacing w:before="100" w:beforeAutospacing="1" w:after="0" w:line="240" w:lineRule="auto"/>
        <w:ind w:left="851" w:hanging="567"/>
        <w:jc w:val="both"/>
        <w:rPr>
          <w:szCs w:val="24"/>
        </w:rPr>
      </w:pPr>
      <w:r>
        <w:t xml:space="preserve">za financiranje, ki ni povezano s stroški: ustrezna dokazila, da dokaže pravilno izvajanje </w:t>
      </w:r>
      <w:r>
        <w:rPr>
          <w:i/>
        </w:rPr>
        <w:t>ukrepa</w:t>
      </w:r>
      <w:r>
        <w:t>;</w:t>
      </w:r>
    </w:p>
    <w:p w14:paraId="3BBB8CCC" w14:textId="2D4B5B40" w:rsidR="00D30E81" w:rsidRPr="008F4DDB" w:rsidRDefault="008F4DDB" w:rsidP="001C2768">
      <w:pPr>
        <w:spacing w:after="0" w:line="240" w:lineRule="auto"/>
        <w:ind w:left="851"/>
        <w:jc w:val="both"/>
        <w:rPr>
          <w:szCs w:val="24"/>
        </w:rPr>
      </w:pPr>
      <w:r>
        <w:t xml:space="preserve">upravičencu ni treba opredeliti dejanskih kritih upravičenih stroškov ali predložiti dokazil, kot so računovodski izkazi, da dokaže znesek, prijavljen kot financiranje, ki ni povezano s stroški; </w:t>
      </w:r>
    </w:p>
    <w:p w14:paraId="5CDF7C20" w14:textId="31DE1D89" w:rsidR="00E6321B" w:rsidRPr="00D92B6C" w:rsidRDefault="00D30E81" w:rsidP="001C2768">
      <w:pPr>
        <w:numPr>
          <w:ilvl w:val="0"/>
          <w:numId w:val="77"/>
        </w:numPr>
        <w:spacing w:before="240" w:line="240" w:lineRule="auto"/>
        <w:ind w:left="851" w:hanging="567"/>
        <w:jc w:val="both"/>
        <w:rPr>
          <w:szCs w:val="24"/>
        </w:rPr>
      </w:pPr>
      <w:r>
        <w:t>za stroške na enoto, ki so prijavljeni na podlagi običajnih praks stroškovnega računovodstva upravičenca: ustrezna dokazila, da dokaže število prijavljenih enot;</w:t>
      </w:r>
    </w:p>
    <w:p w14:paraId="3BBB8CCE" w14:textId="2FDA1835" w:rsidR="00D30E81" w:rsidRPr="00E6321B" w:rsidRDefault="00D30E81" w:rsidP="001C2768">
      <w:pPr>
        <w:numPr>
          <w:ilvl w:val="0"/>
          <w:numId w:val="77"/>
        </w:numPr>
        <w:spacing w:before="240" w:line="240" w:lineRule="auto"/>
        <w:ind w:left="851" w:hanging="567"/>
        <w:jc w:val="both"/>
        <w:rPr>
          <w:szCs w:val="24"/>
        </w:rPr>
      </w:pPr>
      <w:r>
        <w:t xml:space="preserve">za stroške v pavšalnem znesku, ki so prijavljeni na podlagi običajnih praks stroškovnega računovodstva upravičenca: ustrezna dokazila, da dokaže pravilno izvajanje </w:t>
      </w:r>
      <w:r>
        <w:rPr>
          <w:i/>
        </w:rPr>
        <w:t>ukrepa</w:t>
      </w:r>
      <w:r>
        <w:t>;</w:t>
      </w:r>
    </w:p>
    <w:p w14:paraId="3BBB8CCF" w14:textId="77777777" w:rsidR="00D30E81" w:rsidRPr="004264AF" w:rsidRDefault="00D30E81" w:rsidP="001C2768">
      <w:pPr>
        <w:numPr>
          <w:ilvl w:val="0"/>
          <w:numId w:val="77"/>
        </w:numPr>
        <w:spacing w:before="240" w:line="240" w:lineRule="auto"/>
        <w:ind w:left="851" w:hanging="567"/>
        <w:jc w:val="both"/>
        <w:rPr>
          <w:szCs w:val="24"/>
        </w:rPr>
      </w:pPr>
      <w:r>
        <w:t>za stroške na podlagi pavšalne stopnje, ki so prijavljeni na podlagi običajnih praks stroškovnega računovodstva upravičenca: ustrezna dokazila, da dokaže upravičene stroške, za katere se uporablja pavšalna stopnja.</w:t>
      </w:r>
    </w:p>
    <w:p w14:paraId="3BBB8CD0" w14:textId="77777777" w:rsidR="00D30E81" w:rsidRPr="00D06D68" w:rsidRDefault="00D30E81" w:rsidP="00797757">
      <w:pPr>
        <w:pStyle w:val="Heading3"/>
        <w:spacing w:before="100" w:beforeAutospacing="1" w:after="100" w:afterAutospacing="1"/>
      </w:pPr>
      <w:bookmarkStart w:id="135" w:name="_Toc441250865"/>
      <w:bookmarkStart w:id="136" w:name="_Toc1637203"/>
      <w:bookmarkStart w:id="137" w:name="_Toc30751990"/>
      <w:r>
        <w:t>II.20.3 Pogoji za določitev skladnosti praks stroškovnega računovodstva</w:t>
      </w:r>
      <w:bookmarkEnd w:id="135"/>
      <w:bookmarkEnd w:id="136"/>
      <w:bookmarkEnd w:id="137"/>
    </w:p>
    <w:p w14:paraId="3BBB8CD1" w14:textId="0EBB2793" w:rsidR="00D30E81" w:rsidRPr="004264AF" w:rsidRDefault="00D30E81" w:rsidP="001C2768">
      <w:pPr>
        <w:tabs>
          <w:tab w:val="left" w:pos="851"/>
        </w:tabs>
        <w:autoSpaceDE w:val="0"/>
        <w:autoSpaceDN w:val="0"/>
        <w:adjustRightInd w:val="0"/>
        <w:spacing w:before="100" w:beforeAutospacing="1" w:after="0" w:line="240" w:lineRule="auto"/>
        <w:ind w:left="960" w:hanging="960"/>
        <w:jc w:val="both"/>
        <w:rPr>
          <w:szCs w:val="24"/>
        </w:rPr>
      </w:pPr>
      <w:r>
        <w:rPr>
          <w:b/>
        </w:rPr>
        <w:t xml:space="preserve">II.20.3.1 </w:t>
      </w:r>
      <w:r>
        <w:t>V primerih iz točk (f), (g) in (h) člena II.20.2 upravičencu ni treba opredeliti dejanskih kritih upravičenih stroškov, mora pa zagotoviti, da praksa stroškovnega računovodstva, ki se uporabi za namen prijave upravičenih stroškov, izpolnjuje naslednje pogoje:</w:t>
      </w:r>
    </w:p>
    <w:p w14:paraId="3BBB8CD2" w14:textId="77777777" w:rsidR="00D30E81" w:rsidRPr="004264AF" w:rsidRDefault="00D30E81" w:rsidP="001C2768">
      <w:pPr>
        <w:numPr>
          <w:ilvl w:val="0"/>
          <w:numId w:val="78"/>
        </w:numPr>
        <w:spacing w:after="100" w:afterAutospacing="1" w:line="240" w:lineRule="auto"/>
        <w:ind w:left="1560" w:hanging="567"/>
        <w:jc w:val="both"/>
        <w:rPr>
          <w:szCs w:val="24"/>
        </w:rPr>
      </w:pPr>
      <w:r>
        <w:t>uporabljene prakse stroškovnega računovodstva so običajne prakse stroškovnega računovodstva upravičenca in se uporabljajo dosledno na podlagi objektivnih meril, ki niso odvisna od vira financiranja;</w:t>
      </w:r>
    </w:p>
    <w:p w14:paraId="3BBB8CD3"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t>prijavljeni stroški se lahko neposredno uskladijo z zneski, knjiženimi v glavni knjigi upravičenca; in</w:t>
      </w:r>
    </w:p>
    <w:p w14:paraId="3BBB8CD4"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t>kategorije stroškov, uporabljene za namen določitve prijavljenih stroškov, ne vključujejo nobenih neupravičenih stroškov ali stroškov, ki jih krijejo druge oblike nepovratnih sredstev, kot je določeno v členu I.3.2.</w:t>
      </w:r>
    </w:p>
    <w:p w14:paraId="3BBB8CD5" w14:textId="77777777" w:rsidR="00D30E81" w:rsidRPr="004264AF" w:rsidRDefault="00D30E81" w:rsidP="00797757">
      <w:pPr>
        <w:spacing w:before="100" w:beforeAutospacing="1" w:after="100" w:afterAutospacing="1" w:line="240" w:lineRule="auto"/>
        <w:ind w:left="993" w:hanging="993"/>
        <w:jc w:val="both"/>
        <w:rPr>
          <w:szCs w:val="24"/>
        </w:rPr>
      </w:pPr>
      <w:r>
        <w:rPr>
          <w:b/>
        </w:rPr>
        <w:t>II.20.3.2</w:t>
      </w:r>
      <w:r>
        <w:tab/>
        <w:t>Če je tako določeno v posebnih pogojih, lahko upravičenec Komisiji predloži zahtevek, v katerem zaprosi za oceno skladnosti svojih običajnih praks stroškovnega računovodstva. Če je tako zahtevano v posebnih pogojih, mora biti zahtevku priloženo potrdilo o skladnosti praks stroškovnega računovodstva (v nadaljnjem besedilu: potrdilo o skladnosti praks stroškovnega računovodstva).</w:t>
      </w:r>
    </w:p>
    <w:p w14:paraId="3BBB8CD6" w14:textId="77777777" w:rsidR="00D30E81" w:rsidRPr="004264AF" w:rsidRDefault="00D30E81" w:rsidP="001C2768">
      <w:pPr>
        <w:spacing w:before="100" w:beforeAutospacing="1" w:after="0" w:line="240" w:lineRule="auto"/>
        <w:ind w:left="1559" w:hanging="567"/>
        <w:jc w:val="both"/>
        <w:rPr>
          <w:szCs w:val="24"/>
        </w:rPr>
      </w:pPr>
      <w:r>
        <w:t>Potrdilo o skladnosti praks stroškovnega računovodstva mora:</w:t>
      </w:r>
    </w:p>
    <w:p w14:paraId="3BBB8CD7" w14:textId="77777777" w:rsidR="00D30E81" w:rsidRPr="004264AF" w:rsidRDefault="00D30E81" w:rsidP="001C2768">
      <w:pPr>
        <w:numPr>
          <w:ilvl w:val="0"/>
          <w:numId w:val="79"/>
        </w:numPr>
        <w:spacing w:after="100" w:afterAutospacing="1" w:line="240" w:lineRule="auto"/>
        <w:ind w:left="1560" w:hanging="567"/>
        <w:jc w:val="both"/>
        <w:rPr>
          <w:szCs w:val="24"/>
        </w:rPr>
      </w:pPr>
      <w:r>
        <w:t>pripraviti pooblaščeni revizor ali, kadar je upravičenec javni organ, usposobljeni in neodvisni javni uslužbenec in</w:t>
      </w:r>
    </w:p>
    <w:p w14:paraId="3BBB8CD8" w14:textId="77777777" w:rsidR="00D30E81" w:rsidRPr="004264AF" w:rsidRDefault="00D30E81" w:rsidP="00E6321B">
      <w:pPr>
        <w:numPr>
          <w:ilvl w:val="0"/>
          <w:numId w:val="79"/>
        </w:numPr>
        <w:spacing w:before="100" w:beforeAutospacing="1" w:after="100" w:afterAutospacing="1" w:line="240" w:lineRule="auto"/>
        <w:ind w:left="1560" w:hanging="567"/>
        <w:jc w:val="both"/>
        <w:rPr>
          <w:szCs w:val="24"/>
        </w:rPr>
      </w:pPr>
      <w:r>
        <w:t>biti sestavljeno v skladu s Prilogo VII.</w:t>
      </w:r>
    </w:p>
    <w:p w14:paraId="3BBB8CD9" w14:textId="77777777" w:rsidR="00D30E81" w:rsidRPr="004264AF" w:rsidRDefault="00D30E81" w:rsidP="001C2768">
      <w:pPr>
        <w:spacing w:before="100" w:beforeAutospacing="1" w:after="100" w:afterAutospacing="1" w:line="240" w:lineRule="auto"/>
        <w:ind w:left="992" w:firstLine="1"/>
        <w:jc w:val="both"/>
        <w:rPr>
          <w:szCs w:val="24"/>
        </w:rPr>
      </w:pPr>
      <w:r>
        <w:rPr>
          <w:color w:val="000000"/>
        </w:rPr>
        <w:t>Potrdilo mora potrjevati,</w:t>
      </w:r>
      <w:r>
        <w:t xml:space="preserve"> da so prakse stroškovnega računovodstva upravičenca, uporabljene za namene prijave upravičenih stroškov, skladne s pogoji, določenimi v členu II.20.3.1, in dodatnimi pogoji, ki se lahko določijo v posebnih pogojih.</w:t>
      </w:r>
    </w:p>
    <w:p w14:paraId="3BBB8CDA" w14:textId="77777777" w:rsidR="00D30E81" w:rsidRPr="004264AF" w:rsidRDefault="00D30E81" w:rsidP="001C2768">
      <w:pPr>
        <w:spacing w:before="100" w:beforeAutospacing="1" w:after="0" w:line="240" w:lineRule="auto"/>
        <w:ind w:left="992" w:hanging="992"/>
        <w:jc w:val="both"/>
        <w:rPr>
          <w:szCs w:val="24"/>
        </w:rPr>
      </w:pPr>
      <w:r>
        <w:rPr>
          <w:b/>
        </w:rPr>
        <w:t>II.20.3.3</w:t>
      </w:r>
      <w:r>
        <w:tab/>
        <w:t>Če Komisija potrdi, da so običajne prakse stroškovnega računovodstva upravičenca skladne, stroškov, prijavljenih z uporabo teh praks, naknadno ne sme izpodbijati, če:</w:t>
      </w:r>
    </w:p>
    <w:p w14:paraId="3BBB8CDB" w14:textId="77777777" w:rsidR="00D30E81" w:rsidRPr="004264AF" w:rsidRDefault="00D30E81" w:rsidP="001C2768">
      <w:pPr>
        <w:numPr>
          <w:ilvl w:val="0"/>
          <w:numId w:val="80"/>
        </w:numPr>
        <w:spacing w:after="100" w:afterAutospacing="1" w:line="240" w:lineRule="auto"/>
        <w:ind w:left="1560" w:hanging="567"/>
        <w:jc w:val="both"/>
        <w:rPr>
          <w:szCs w:val="24"/>
        </w:rPr>
      </w:pPr>
      <w:r>
        <w:t>so dejansko uporabljene prakse skladne s praksami, ki jih je Komisija odobrila, in</w:t>
      </w:r>
    </w:p>
    <w:p w14:paraId="3BBB8CDC" w14:textId="77777777" w:rsidR="00D30E81" w:rsidRPr="004264AF" w:rsidRDefault="00D30E81" w:rsidP="00D6479B">
      <w:pPr>
        <w:numPr>
          <w:ilvl w:val="0"/>
          <w:numId w:val="80"/>
        </w:numPr>
        <w:spacing w:before="100" w:beforeAutospacing="1" w:after="100" w:afterAutospacing="1" w:line="240" w:lineRule="auto"/>
        <w:ind w:left="1560" w:hanging="567"/>
        <w:jc w:val="both"/>
        <w:rPr>
          <w:szCs w:val="24"/>
        </w:rPr>
      </w:pPr>
      <w:r>
        <w:t>upravičenec za namen odobritve svojih praks stroškovnega računovodstva ni prikril nobenih informacij.</w:t>
      </w:r>
    </w:p>
    <w:p w14:paraId="3BBB8CDD" w14:textId="59D84410" w:rsidR="00D30E81" w:rsidRPr="001A04C2" w:rsidRDefault="0093695C" w:rsidP="00797757">
      <w:pPr>
        <w:pStyle w:val="Heading2"/>
        <w:spacing w:before="100" w:beforeAutospacing="1" w:after="100" w:afterAutospacing="1"/>
      </w:pPr>
      <w:bookmarkStart w:id="138" w:name="_Toc441250866"/>
      <w:bookmarkStart w:id="139" w:name="_Toc1637204"/>
      <w:bookmarkStart w:id="140" w:name="_Toc30751991"/>
      <w:r>
        <w:t>ČLEN II.21 – UPRAVIČENOST STROŠKOV SUBJEKTOV, KI SO POVEZANI Z UPRAVIČENCEM</w:t>
      </w:r>
      <w:bookmarkEnd w:id="138"/>
      <w:bookmarkEnd w:id="139"/>
      <w:bookmarkEnd w:id="140"/>
    </w:p>
    <w:p w14:paraId="3BBB8CDE" w14:textId="77777777" w:rsidR="00D30E81" w:rsidRPr="004264AF" w:rsidRDefault="00D30E81" w:rsidP="001C2768">
      <w:pPr>
        <w:spacing w:before="100" w:beforeAutospacing="1" w:after="0" w:line="240" w:lineRule="auto"/>
        <w:jc w:val="both"/>
        <w:rPr>
          <w:szCs w:val="24"/>
        </w:rPr>
      </w:pPr>
      <w:r>
        <w:t>Če posebni pogoji vsebujejo določbo o subjektih, ki se povežejo z upravičencem, so stroški, ki jih ima tak subjekt, upravičeni, če:</w:t>
      </w:r>
    </w:p>
    <w:p w14:paraId="3BBB8CDF" w14:textId="77777777" w:rsidR="00D30E81" w:rsidRPr="004264AF" w:rsidRDefault="00D30E81" w:rsidP="001C2768">
      <w:pPr>
        <w:numPr>
          <w:ilvl w:val="0"/>
          <w:numId w:val="81"/>
        </w:numPr>
        <w:spacing w:after="100" w:afterAutospacing="1" w:line="240" w:lineRule="auto"/>
        <w:ind w:left="851" w:hanging="567"/>
        <w:jc w:val="both"/>
        <w:rPr>
          <w:szCs w:val="24"/>
        </w:rPr>
      </w:pPr>
      <w:r>
        <w:t>izpolnjujejo iste pogoje iz členov II.19</w:t>
      </w:r>
      <w:r>
        <w:rPr>
          <w:i/>
        </w:rPr>
        <w:t xml:space="preserve"> </w:t>
      </w:r>
      <w:r>
        <w:t>in II.20, kot se uporabljajo za upravičenca, in</w:t>
      </w:r>
    </w:p>
    <w:p w14:paraId="3BBB8CE0" w14:textId="77777777" w:rsidR="00D30E81" w:rsidRPr="004264AF" w:rsidRDefault="00D30E81" w:rsidP="00E6321B">
      <w:pPr>
        <w:numPr>
          <w:ilvl w:val="0"/>
          <w:numId w:val="81"/>
        </w:numPr>
        <w:spacing w:before="100" w:beforeAutospacing="1" w:after="100" w:afterAutospacing="1" w:line="240" w:lineRule="auto"/>
        <w:ind w:left="851" w:hanging="567"/>
        <w:jc w:val="both"/>
        <w:rPr>
          <w:szCs w:val="24"/>
        </w:rPr>
      </w:pPr>
      <w:r>
        <w:t>upravičenec zagotovi, da se pogoji, ki se uporabljajo zanj v skladu s členi II.4, II.5, II.6, II.8, II.10, II.11 in II.27, uporabljajo tudi za subjekt.</w:t>
      </w:r>
    </w:p>
    <w:p w14:paraId="3BBB8CE1" w14:textId="233E42B7" w:rsidR="00D30E81" w:rsidRPr="001A04C2" w:rsidRDefault="0093695C" w:rsidP="00797757">
      <w:pPr>
        <w:pStyle w:val="Heading2"/>
        <w:spacing w:before="100" w:beforeAutospacing="1" w:after="100" w:afterAutospacing="1"/>
      </w:pPr>
      <w:bookmarkStart w:id="141" w:name="_Toc441250867"/>
      <w:bookmarkStart w:id="142" w:name="_Toc1637205"/>
      <w:bookmarkStart w:id="143" w:name="_Toc30751992"/>
      <w:r>
        <w:t>ČLEN II.22 – PRORAČUNSKE PRERAZPOREDITVE</w:t>
      </w:r>
      <w:bookmarkEnd w:id="141"/>
      <w:bookmarkEnd w:id="142"/>
      <w:bookmarkEnd w:id="143"/>
    </w:p>
    <w:p w14:paraId="3BBB8CE2" w14:textId="26C382AC" w:rsidR="00D30E81" w:rsidRPr="004264AF" w:rsidRDefault="00DB7B4E" w:rsidP="00797757">
      <w:pPr>
        <w:spacing w:before="100" w:beforeAutospacing="1" w:after="100" w:afterAutospacing="1" w:line="240" w:lineRule="auto"/>
        <w:jc w:val="both"/>
        <w:rPr>
          <w:szCs w:val="24"/>
        </w:rPr>
      </w:pPr>
      <w:r>
        <w:t xml:space="preserve">Upravičenec lahko prilagodi načrt proračuna iz Priloge II, in sicer s prerazporeditvami med različnimi proračunskimi kategorijami, če se </w:t>
      </w:r>
      <w:r>
        <w:rPr>
          <w:i/>
        </w:rPr>
        <w:t>ukrep</w:t>
      </w:r>
      <w:r>
        <w:t xml:space="preserve"> izvaja, kot je opisano v Prilogi </w:t>
      </w:r>
      <w:r w:rsidR="00AE6D9E">
        <w:t>I</w:t>
      </w:r>
      <w:r>
        <w:t>I. Za tako prilagoditev ni potrebna sprememba sporazuma, kot je določeno v členu II.13.</w:t>
      </w:r>
    </w:p>
    <w:p w14:paraId="3BBB8CE3" w14:textId="77777777" w:rsidR="00D30E81" w:rsidRPr="004264AF" w:rsidRDefault="00D30E81" w:rsidP="00797757">
      <w:pPr>
        <w:spacing w:before="100" w:beforeAutospacing="1" w:after="100" w:afterAutospacing="1" w:line="240" w:lineRule="auto"/>
        <w:jc w:val="both"/>
        <w:rPr>
          <w:szCs w:val="24"/>
        </w:rPr>
      </w:pPr>
      <w:r>
        <w:t xml:space="preserve">Vendar upravičenec ne sme dodati stroškov v zvezi s </w:t>
      </w:r>
      <w:r>
        <w:rPr>
          <w:i/>
        </w:rPr>
        <w:t>pogodbami s podizvajalci</w:t>
      </w:r>
      <w:r>
        <w:t xml:space="preserve">, ki niso določene v Prilogi 1, razen če takšne dodatne </w:t>
      </w:r>
      <w:r>
        <w:rPr>
          <w:i/>
        </w:rPr>
        <w:t>pogodbe s podizvajalci</w:t>
      </w:r>
      <w:r>
        <w:t xml:space="preserve"> odobri Komisija v skladu s členom II.11.1(d).</w:t>
      </w:r>
    </w:p>
    <w:p w14:paraId="3BBB8CE4" w14:textId="3C45D7DF" w:rsidR="00D30E81" w:rsidRPr="004264AF" w:rsidRDefault="00D30E81" w:rsidP="00797757">
      <w:pPr>
        <w:spacing w:before="100" w:beforeAutospacing="1" w:after="100" w:afterAutospacing="1" w:line="240" w:lineRule="auto"/>
        <w:jc w:val="both"/>
        <w:rPr>
          <w:i/>
          <w:szCs w:val="24"/>
        </w:rPr>
      </w:pPr>
      <w:r>
        <w:t>Prva dva pododstavka se ne uporabljata za zneske, ki so v obliki pavšalnih zneskov, kot je določeno v členu I.3.2(a)(iii) ali (c), ali ki so v obliki financiranja, ki ni povezano s stroški, kot je določeno v členu I.3.2(e).</w:t>
      </w:r>
    </w:p>
    <w:p w14:paraId="3BBB8CE5" w14:textId="5F3129B2" w:rsidR="00D30E81" w:rsidRPr="001A04C2" w:rsidRDefault="005A7083" w:rsidP="00797757">
      <w:pPr>
        <w:pStyle w:val="Heading2"/>
        <w:spacing w:before="100" w:beforeAutospacing="1" w:after="100" w:afterAutospacing="1"/>
      </w:pPr>
      <w:bookmarkStart w:id="144" w:name="_Toc441250868"/>
      <w:bookmarkStart w:id="145" w:name="_Toc1637206"/>
      <w:bookmarkStart w:id="146" w:name="_Toc30751993"/>
      <w:r>
        <w:t>ČLEN II.23 – NESKLADNOST Z OBVEZNOSTMI POROČANJA</w:t>
      </w:r>
      <w:bookmarkEnd w:id="144"/>
      <w:bookmarkEnd w:id="145"/>
      <w:bookmarkEnd w:id="146"/>
    </w:p>
    <w:p w14:paraId="3BBB8CE7" w14:textId="77777777" w:rsidR="00D30E81" w:rsidRPr="004264AF" w:rsidRDefault="00D30E81" w:rsidP="001C2768">
      <w:pPr>
        <w:spacing w:before="100" w:beforeAutospacing="1" w:after="0" w:line="240" w:lineRule="auto"/>
        <w:jc w:val="both"/>
        <w:rPr>
          <w:bCs/>
          <w:szCs w:val="24"/>
        </w:rPr>
      </w:pPr>
      <w:r>
        <w:t>Komisija lahko odpove sporazum, kot je določeno v členu II.17.2.1(b), in zniža nepovratna sredstva, kot je določeno v členu II.25.4, če upravičenec:</w:t>
      </w:r>
    </w:p>
    <w:p w14:paraId="3BBB8CE8" w14:textId="77777777" w:rsidR="00D30E81" w:rsidRPr="004264AF" w:rsidRDefault="00D30E81" w:rsidP="001C2768">
      <w:pPr>
        <w:numPr>
          <w:ilvl w:val="0"/>
          <w:numId w:val="82"/>
        </w:numPr>
        <w:spacing w:after="100" w:afterAutospacing="1" w:line="240" w:lineRule="auto"/>
        <w:ind w:left="851" w:hanging="567"/>
        <w:jc w:val="both"/>
        <w:rPr>
          <w:bCs/>
          <w:szCs w:val="24"/>
        </w:rPr>
      </w:pPr>
      <w:r>
        <w:t>ni predložil zahtevka za vmesno plačilo ali plačilo razlike, ki so mu priloženi dokumenti iz člena I.4.3 ali I.4.4, v 60 koledarskih dneh po koncu ustreznega obdobja poročanja, in</w:t>
      </w:r>
    </w:p>
    <w:p w14:paraId="3BBB8CE9" w14:textId="769A3E16" w:rsidR="00D30E81" w:rsidRPr="004264AF" w:rsidRDefault="00D30E81" w:rsidP="00E6321B">
      <w:pPr>
        <w:numPr>
          <w:ilvl w:val="0"/>
          <w:numId w:val="82"/>
        </w:numPr>
        <w:spacing w:before="100" w:beforeAutospacing="1" w:after="100" w:afterAutospacing="1" w:line="240" w:lineRule="auto"/>
        <w:ind w:left="851" w:hanging="567"/>
        <w:jc w:val="both"/>
        <w:rPr>
          <w:i/>
          <w:szCs w:val="24"/>
        </w:rPr>
      </w:pPr>
      <w:r>
        <w:t>takega zahtevka ne predloži niti v nadaljnjih 60 koledarskih dneh po pisnem opominu, ki ga pošlje Komisija.</w:t>
      </w:r>
    </w:p>
    <w:p w14:paraId="3BBB8CEE" w14:textId="77777777" w:rsidR="00D30E81" w:rsidRPr="001A04C2" w:rsidRDefault="0093695C" w:rsidP="00797757">
      <w:pPr>
        <w:pStyle w:val="Heading2"/>
        <w:spacing w:before="100" w:beforeAutospacing="1" w:after="100" w:afterAutospacing="1"/>
      </w:pPr>
      <w:bookmarkStart w:id="147" w:name="_Toc441250869"/>
      <w:bookmarkStart w:id="148" w:name="_Toc1637207"/>
      <w:bookmarkStart w:id="149" w:name="_Toc30751994"/>
      <w:r>
        <w:t>ČLEN II.24 – ZAČASNA USTAVITEV PLAČIL IN ZAČASNA PREKINITEV PLAČILNIH ROKOV</w:t>
      </w:r>
      <w:bookmarkEnd w:id="147"/>
      <w:bookmarkEnd w:id="148"/>
      <w:bookmarkEnd w:id="149"/>
    </w:p>
    <w:p w14:paraId="3BBB8CEF" w14:textId="77777777" w:rsidR="00D30E81" w:rsidRPr="00D06D68" w:rsidRDefault="00D30E81" w:rsidP="00797757">
      <w:pPr>
        <w:pStyle w:val="Heading3"/>
        <w:spacing w:before="100" w:beforeAutospacing="1" w:after="100" w:afterAutospacing="1"/>
      </w:pPr>
      <w:bookmarkStart w:id="150" w:name="_Toc441250870"/>
      <w:bookmarkStart w:id="151" w:name="_Toc1637208"/>
      <w:bookmarkStart w:id="152" w:name="_Toc30751995"/>
      <w:r>
        <w:t>II.24.1 Začasna ustavitev plačil</w:t>
      </w:r>
      <w:bookmarkEnd w:id="150"/>
      <w:bookmarkEnd w:id="151"/>
      <w:bookmarkEnd w:id="152"/>
      <w:r>
        <w:t xml:space="preserve">  </w:t>
      </w:r>
    </w:p>
    <w:p w14:paraId="3BBB8CF0" w14:textId="77777777" w:rsidR="00D30E81" w:rsidRPr="00D06D68" w:rsidRDefault="00D30E81" w:rsidP="00797757">
      <w:pPr>
        <w:pStyle w:val="Heading4"/>
        <w:spacing w:before="100" w:beforeAutospacing="1" w:after="100" w:afterAutospacing="1"/>
      </w:pPr>
      <w:r>
        <w:t>II.24.1.1 Razlogi za začasno ustavitev</w:t>
      </w:r>
    </w:p>
    <w:p w14:paraId="3BBB8CF1" w14:textId="77777777" w:rsidR="00AB78C8" w:rsidRPr="00242651" w:rsidRDefault="00AB78C8" w:rsidP="001C2768">
      <w:pPr>
        <w:spacing w:before="100" w:beforeAutospacing="1" w:after="0" w:line="240" w:lineRule="auto"/>
        <w:jc w:val="both"/>
        <w:rPr>
          <w:szCs w:val="24"/>
        </w:rPr>
      </w:pPr>
      <w:r>
        <w:t>Komisija lahko kadar koli med izvajanjem sporazuma začasno ustavi plačila predhodnega financiranja, vmesna plačila ali plačilo razlike:</w:t>
      </w:r>
    </w:p>
    <w:p w14:paraId="3BBB8CF2" w14:textId="5DA3B46A" w:rsidR="00D30E81" w:rsidRPr="004264AF" w:rsidRDefault="00D30E81" w:rsidP="001C2768">
      <w:pPr>
        <w:numPr>
          <w:ilvl w:val="0"/>
          <w:numId w:val="84"/>
        </w:numPr>
        <w:spacing w:after="100" w:afterAutospacing="1" w:line="240" w:lineRule="auto"/>
        <w:ind w:left="851" w:hanging="567"/>
        <w:jc w:val="both"/>
        <w:rPr>
          <w:szCs w:val="24"/>
        </w:rPr>
      </w:pPr>
      <w:r>
        <w:t xml:space="preserve">če ima dokaze, da je upravičenec storil </w:t>
      </w:r>
      <w:r>
        <w:rPr>
          <w:i/>
        </w:rPr>
        <w:t>nepravilnosti, goljufije</w:t>
      </w:r>
      <w:r>
        <w:t xml:space="preserve"> ali </w:t>
      </w:r>
      <w:r>
        <w:rPr>
          <w:i/>
        </w:rPr>
        <w:t>kršitve obveznosti</w:t>
      </w:r>
      <w:r>
        <w:t xml:space="preserve"> v postopku dodeljevanja ali pri izvajanju sporazuma;</w:t>
      </w:r>
    </w:p>
    <w:p w14:paraId="3BBB8CF3" w14:textId="6C4D2776" w:rsidR="00D30E81" w:rsidRPr="004264AF" w:rsidRDefault="00D30E81" w:rsidP="00D6479B">
      <w:pPr>
        <w:numPr>
          <w:ilvl w:val="0"/>
          <w:numId w:val="84"/>
        </w:numPr>
        <w:spacing w:before="100" w:beforeAutospacing="1" w:after="100" w:afterAutospacing="1" w:line="240" w:lineRule="auto"/>
        <w:ind w:left="851" w:hanging="567"/>
        <w:jc w:val="both"/>
        <w:rPr>
          <w:szCs w:val="24"/>
        </w:rPr>
      </w:pPr>
      <w:r>
        <w:t xml:space="preserve">če ima dokaze, da je upravičenec storil sistemske ali ponavljajoče se napake, </w:t>
      </w:r>
      <w:r>
        <w:rPr>
          <w:i/>
        </w:rPr>
        <w:t>nepravilnosti, goljufije</w:t>
      </w:r>
      <w:r>
        <w:t xml:space="preserve"> ali resne </w:t>
      </w:r>
      <w:r>
        <w:rPr>
          <w:i/>
        </w:rPr>
        <w:t>kršitve obveznosti</w:t>
      </w:r>
      <w:r>
        <w:t xml:space="preserve"> v zvezi z drugimi nepovratnimi sredstvi, ki jih zagotavlja Unija ali Evropska skupnost za atomsko energijo (Euratom) in ki so bila dodeljena upravičencu pod podobnimi pogoji, in če takšne </w:t>
      </w:r>
      <w:r>
        <w:rPr>
          <w:i/>
        </w:rPr>
        <w:t>nepravilnosti, goljufije</w:t>
      </w:r>
      <w:r>
        <w:t xml:space="preserve"> ali </w:t>
      </w:r>
      <w:r>
        <w:rPr>
          <w:i/>
        </w:rPr>
        <w:t>kršitve obveznosti</w:t>
      </w:r>
      <w:r>
        <w:t xml:space="preserve"> znatno vplivajo na ta nepovratna sredstva; ali</w:t>
      </w:r>
    </w:p>
    <w:p w14:paraId="3BBB8CF4" w14:textId="77777777" w:rsidR="00D30E81" w:rsidRPr="004264AF" w:rsidRDefault="00D30E81" w:rsidP="00D6479B">
      <w:pPr>
        <w:numPr>
          <w:ilvl w:val="0"/>
          <w:numId w:val="84"/>
        </w:numPr>
        <w:spacing w:before="100" w:beforeAutospacing="1" w:after="100" w:afterAutospacing="1" w:line="240" w:lineRule="auto"/>
        <w:ind w:left="851" w:hanging="567"/>
        <w:jc w:val="both"/>
        <w:rPr>
          <w:szCs w:val="24"/>
        </w:rPr>
      </w:pPr>
      <w:r>
        <w:t xml:space="preserve">če sumi, da je upravičenec storil </w:t>
      </w:r>
      <w:r>
        <w:rPr>
          <w:i/>
        </w:rPr>
        <w:t>resne napake</w:t>
      </w:r>
      <w:r>
        <w:t xml:space="preserve">, </w:t>
      </w:r>
      <w:r>
        <w:rPr>
          <w:i/>
        </w:rPr>
        <w:t>nepravilnosti</w:t>
      </w:r>
      <w:r>
        <w:t xml:space="preserve">, </w:t>
      </w:r>
      <w:r>
        <w:rPr>
          <w:i/>
        </w:rPr>
        <w:t>goljufije</w:t>
      </w:r>
      <w:r>
        <w:t xml:space="preserve"> ali kršitve obveznosti v postopku za oddajo ali pri izvajanju sporazuma, in mora preveriti, ali so bile te dejansko storjene.</w:t>
      </w:r>
    </w:p>
    <w:p w14:paraId="3BBB8CF5" w14:textId="77777777" w:rsidR="00D30E81" w:rsidRPr="00D06D68" w:rsidRDefault="00D30E81" w:rsidP="00797757">
      <w:pPr>
        <w:pStyle w:val="Heading4"/>
        <w:spacing w:before="100" w:beforeAutospacing="1" w:after="100" w:afterAutospacing="1"/>
      </w:pPr>
      <w:r>
        <w:t>II.24.1.2 Postopek za začasno ustavitev</w:t>
      </w:r>
    </w:p>
    <w:p w14:paraId="3BBB8CF6" w14:textId="77777777" w:rsidR="00D30E81" w:rsidRPr="004264AF" w:rsidRDefault="00D30E81" w:rsidP="001C2768">
      <w:pPr>
        <w:spacing w:before="100" w:beforeAutospacing="1" w:after="0" w:line="240" w:lineRule="auto"/>
        <w:jc w:val="both"/>
        <w:rPr>
          <w:szCs w:val="24"/>
        </w:rPr>
      </w:pPr>
      <w:r>
        <w:rPr>
          <w:b/>
        </w:rPr>
        <w:t>1. korak</w:t>
      </w:r>
      <w:r>
        <w:t xml:space="preserve"> – Preden Komisija začasno ustavi plačila, mora upravičencu poslati </w:t>
      </w:r>
      <w:r>
        <w:rPr>
          <w:i/>
        </w:rPr>
        <w:t>uradno obvestilo</w:t>
      </w:r>
      <w:r>
        <w:t>, v katerem ga</w:t>
      </w:r>
    </w:p>
    <w:p w14:paraId="3BBB8CF7" w14:textId="77777777" w:rsidR="00D30E81" w:rsidRPr="004264AF" w:rsidRDefault="00D30E81" w:rsidP="001C2768">
      <w:pPr>
        <w:numPr>
          <w:ilvl w:val="0"/>
          <w:numId w:val="85"/>
        </w:numPr>
        <w:spacing w:after="0" w:line="240" w:lineRule="auto"/>
        <w:ind w:left="851" w:hanging="567"/>
        <w:jc w:val="both"/>
        <w:rPr>
          <w:szCs w:val="24"/>
        </w:rPr>
      </w:pPr>
      <w:r>
        <w:t>obvešča o:</w:t>
      </w:r>
    </w:p>
    <w:p w14:paraId="3BBB8CF8" w14:textId="77777777" w:rsidR="00D30E81" w:rsidRPr="004264AF" w:rsidRDefault="00D30E81" w:rsidP="001C2768">
      <w:pPr>
        <w:numPr>
          <w:ilvl w:val="0"/>
          <w:numId w:val="86"/>
        </w:numPr>
        <w:spacing w:after="100" w:afterAutospacing="1" w:line="240" w:lineRule="auto"/>
        <w:ind w:left="1418" w:hanging="567"/>
        <w:jc w:val="both"/>
        <w:rPr>
          <w:szCs w:val="24"/>
        </w:rPr>
      </w:pPr>
      <w:r>
        <w:t>svoji nameri, da začasno ustavi plačila;</w:t>
      </w:r>
    </w:p>
    <w:p w14:paraId="3BBB8CF9" w14:textId="77777777" w:rsidR="00D30E81" w:rsidRPr="004264AF" w:rsidRDefault="00D30E81" w:rsidP="00D6479B">
      <w:pPr>
        <w:numPr>
          <w:ilvl w:val="0"/>
          <w:numId w:val="86"/>
        </w:numPr>
        <w:spacing w:before="100" w:beforeAutospacing="1" w:after="100" w:afterAutospacing="1" w:line="240" w:lineRule="auto"/>
        <w:ind w:left="1418" w:hanging="567"/>
        <w:jc w:val="both"/>
        <w:rPr>
          <w:szCs w:val="24"/>
        </w:rPr>
      </w:pPr>
      <w:r>
        <w:t xml:space="preserve">razlogih za začasno ustavitev;  </w:t>
      </w:r>
    </w:p>
    <w:p w14:paraId="3BBB8CFA" w14:textId="77777777" w:rsidR="00D30E81" w:rsidRPr="004264AF" w:rsidRDefault="00D30E81" w:rsidP="001C2768">
      <w:pPr>
        <w:numPr>
          <w:ilvl w:val="0"/>
          <w:numId w:val="86"/>
        </w:numPr>
        <w:spacing w:before="100" w:beforeAutospacing="1" w:after="0" w:line="240" w:lineRule="auto"/>
        <w:ind w:left="1418" w:hanging="567"/>
        <w:jc w:val="both"/>
        <w:rPr>
          <w:szCs w:val="24"/>
        </w:rPr>
      </w:pPr>
      <w:r>
        <w:t>pogojih, ki morajo biti izpolnjeni za nadaljevanje plačil, v primerih iz točk (a) in (b) člena II.24.1.1 in</w:t>
      </w:r>
    </w:p>
    <w:p w14:paraId="3BBB8CFB" w14:textId="77777777" w:rsidR="00D30E81" w:rsidRPr="004264AF" w:rsidRDefault="00D30E81" w:rsidP="001C2768">
      <w:pPr>
        <w:numPr>
          <w:ilvl w:val="0"/>
          <w:numId w:val="85"/>
        </w:numPr>
        <w:spacing w:after="100" w:afterAutospacing="1" w:line="240" w:lineRule="auto"/>
        <w:ind w:left="851" w:hanging="567"/>
        <w:jc w:val="both"/>
        <w:rPr>
          <w:szCs w:val="24"/>
        </w:rPr>
      </w:pPr>
      <w:r>
        <w:t xml:space="preserve">poziva, naj predloži pripombe v 30 koledarskih dneh po prejemu </w:t>
      </w:r>
      <w:r>
        <w:rPr>
          <w:i/>
        </w:rPr>
        <w:t>uradnega obvestila</w:t>
      </w:r>
      <w:r>
        <w:t>.</w:t>
      </w:r>
    </w:p>
    <w:p w14:paraId="3BBB8CFC" w14:textId="77777777" w:rsidR="00D30E81" w:rsidRPr="004264AF" w:rsidRDefault="00D30E81" w:rsidP="001C2768">
      <w:pPr>
        <w:spacing w:before="100" w:beforeAutospacing="1" w:after="0" w:line="240" w:lineRule="auto"/>
        <w:jc w:val="both"/>
        <w:rPr>
          <w:szCs w:val="24"/>
        </w:rPr>
      </w:pPr>
      <w:r>
        <w:rPr>
          <w:b/>
        </w:rPr>
        <w:t>2. korak</w:t>
      </w:r>
      <w:r>
        <w:t xml:space="preserve"> – Če Komisija ne prejme pripomb ali sklene, da bo kljub prejetim pripombam nadaljevala postopek, mora upravičencu poslati </w:t>
      </w:r>
      <w:r>
        <w:rPr>
          <w:i/>
        </w:rPr>
        <w:t>uradno obvestilo</w:t>
      </w:r>
      <w:r>
        <w:t>, v katerem ga obvešča o:</w:t>
      </w:r>
    </w:p>
    <w:p w14:paraId="3BBB8CFD" w14:textId="77777777" w:rsidR="00D30E81" w:rsidRPr="004264AF" w:rsidRDefault="00D30E81" w:rsidP="001C2768">
      <w:pPr>
        <w:numPr>
          <w:ilvl w:val="0"/>
          <w:numId w:val="87"/>
        </w:numPr>
        <w:spacing w:after="100" w:afterAutospacing="1" w:line="240" w:lineRule="auto"/>
        <w:ind w:left="851" w:hanging="567"/>
        <w:jc w:val="both"/>
        <w:rPr>
          <w:szCs w:val="24"/>
        </w:rPr>
      </w:pPr>
      <w:r>
        <w:t>začasni ustavitvi plačil;</w:t>
      </w:r>
    </w:p>
    <w:p w14:paraId="3BBB8CFE"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t>razlogih za začasno ustavitev;</w:t>
      </w:r>
    </w:p>
    <w:p w14:paraId="3BBB8CFF"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t>končnih pogojih, v skladu s katerimi se plačila lahko nadaljujejo v primerih iz točk (a) in (b) člena II.24.1.1;</w:t>
      </w:r>
    </w:p>
    <w:p w14:paraId="3BBB8D00"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t>okvirnem datumu zaključka potrebnega preverjanja</w:t>
      </w:r>
      <w:r>
        <w:rPr>
          <w:rStyle w:val="CommentReference"/>
          <w:sz w:val="24"/>
        </w:rPr>
        <w:t xml:space="preserve"> </w:t>
      </w:r>
      <w:r>
        <w:t>v primeru iz točke (c) člena II.24.1.1.</w:t>
      </w:r>
    </w:p>
    <w:p w14:paraId="3BBB8D01" w14:textId="77777777" w:rsidR="00D30E81" w:rsidRPr="004264AF" w:rsidRDefault="00D30E81" w:rsidP="001C2768">
      <w:pPr>
        <w:spacing w:before="100" w:beforeAutospacing="1" w:after="100" w:afterAutospacing="1" w:line="240" w:lineRule="auto"/>
        <w:jc w:val="both"/>
        <w:rPr>
          <w:szCs w:val="24"/>
        </w:rPr>
      </w:pPr>
      <w:r>
        <w:t xml:space="preserve">Začasna ustavitev začne učinkovati na dan, ko Komisija pošlje </w:t>
      </w:r>
      <w:r>
        <w:rPr>
          <w:i/>
        </w:rPr>
        <w:t>uradno obvestilo</w:t>
      </w:r>
      <w:r>
        <w:t xml:space="preserve"> o začasni ustavitvi (2. korak).</w:t>
      </w:r>
    </w:p>
    <w:p w14:paraId="3BBB8D02" w14:textId="77777777" w:rsidR="00D30E81" w:rsidRPr="004264AF" w:rsidRDefault="00D30E81" w:rsidP="00797757">
      <w:pPr>
        <w:spacing w:before="100" w:beforeAutospacing="1" w:after="100" w:afterAutospacing="1" w:line="240" w:lineRule="auto"/>
        <w:jc w:val="both"/>
        <w:rPr>
          <w:szCs w:val="24"/>
        </w:rPr>
      </w:pPr>
      <w:r>
        <w:t xml:space="preserve">Drugače mora Komisija upravičencu poslati </w:t>
      </w:r>
      <w:r>
        <w:rPr>
          <w:i/>
        </w:rPr>
        <w:t>uradno obvestilo</w:t>
      </w:r>
      <w:r>
        <w:t>, v katerem ga obvešča, da postopka za začasno ustavitev ne bo nadaljevala.</w:t>
      </w:r>
    </w:p>
    <w:p w14:paraId="3BBB8D03" w14:textId="77777777" w:rsidR="00D30E81" w:rsidRPr="00D06D68" w:rsidRDefault="00D30E81" w:rsidP="00797757">
      <w:pPr>
        <w:pStyle w:val="Heading4"/>
        <w:spacing w:before="100" w:beforeAutospacing="1" w:after="100" w:afterAutospacing="1"/>
      </w:pPr>
      <w:r>
        <w:t>II.24.1.3 Posledice začasne ustavitve</w:t>
      </w:r>
    </w:p>
    <w:p w14:paraId="3BBB8D05" w14:textId="77777777" w:rsidR="00D30E81" w:rsidRPr="004264AF" w:rsidRDefault="00D30E81" w:rsidP="00797757">
      <w:pPr>
        <w:spacing w:before="100" w:beforeAutospacing="1" w:after="100" w:afterAutospacing="1" w:line="240" w:lineRule="auto"/>
        <w:jc w:val="both"/>
        <w:rPr>
          <w:szCs w:val="24"/>
        </w:rPr>
      </w:pPr>
      <w:r>
        <w:t>V času trajanja začasne ustavitve plačil upravičenec ni upravičen, da predloži kakršne koli zahtevke za plačila in dokazila iz členov I.4.2, I.4.3 in I.4.4.</w:t>
      </w:r>
    </w:p>
    <w:p w14:paraId="3BBB8D06" w14:textId="77777777" w:rsidR="00D30E81" w:rsidRPr="004264AF" w:rsidRDefault="00D30E81" w:rsidP="00797757">
      <w:pPr>
        <w:spacing w:before="100" w:beforeAutospacing="1" w:after="100" w:afterAutospacing="1" w:line="240" w:lineRule="auto"/>
        <w:jc w:val="both"/>
        <w:rPr>
          <w:szCs w:val="24"/>
        </w:rPr>
      </w:pPr>
      <w:r>
        <w:t>Ustrezni zahtevki za plačila in dokazila se lahko predložijo čim prej po ponovnem začetku izvajanja plačil ali pa se lahko vključijo v prvi zahtevek za zapadlo plačilo po ponovnem začetku izvajanja plačil v skladu s časovnim načrtom, določenim v členu I.4.1.</w:t>
      </w:r>
    </w:p>
    <w:p w14:paraId="34290755" w14:textId="77777777" w:rsidR="005D13CD" w:rsidRDefault="00D30E81" w:rsidP="001C2768">
      <w:r>
        <w:t xml:space="preserve">Začasna ustavitev plačil ne vpliva na pravico upravičenca, da zadrži izvajanje </w:t>
      </w:r>
      <w:r>
        <w:rPr>
          <w:i/>
        </w:rPr>
        <w:t>ukrepa</w:t>
      </w:r>
      <w:r>
        <w:t>, kot je določeno v členu II.16.1, ali da odpove sporazum, kot je določeno v členu II.17.1.</w:t>
      </w:r>
    </w:p>
    <w:p w14:paraId="3BBB8D0C" w14:textId="77777777" w:rsidR="00D30E81" w:rsidRPr="00E348B1" w:rsidRDefault="00D30E81" w:rsidP="001C2768">
      <w:pPr>
        <w:pStyle w:val="Heading4"/>
      </w:pPr>
      <w:r>
        <w:t>II.24.1.4 Nadaljevanje plačil</w:t>
      </w:r>
    </w:p>
    <w:p w14:paraId="3BBB8D0D" w14:textId="77777777" w:rsidR="00D30E81" w:rsidRPr="004264AF" w:rsidRDefault="00D30E81" w:rsidP="00797757">
      <w:pPr>
        <w:spacing w:before="100" w:beforeAutospacing="1" w:after="100" w:afterAutospacing="1" w:line="240" w:lineRule="auto"/>
        <w:jc w:val="both"/>
        <w:rPr>
          <w:szCs w:val="24"/>
        </w:rPr>
      </w:pPr>
      <w:r>
        <w:t>Da bi Komisija ponovno začela izvajati plačila, mora upravičenec čim prej izpolniti sporočene pogoje in o vsakem napredku obvestiti Komisijo.</w:t>
      </w:r>
    </w:p>
    <w:p w14:paraId="3BBB8D0E" w14:textId="77777777" w:rsidR="00D30E81" w:rsidRPr="004264AF" w:rsidRDefault="00D30E81" w:rsidP="00797757">
      <w:pPr>
        <w:spacing w:before="100" w:beforeAutospacing="1" w:after="100" w:afterAutospacing="1" w:line="240" w:lineRule="auto"/>
        <w:jc w:val="both"/>
        <w:rPr>
          <w:szCs w:val="24"/>
        </w:rPr>
      </w:pPr>
      <w:r>
        <w:t xml:space="preserve">Če so izpolnjeni pogoji za nadaljevanje plačil, se bo začasna ustavitev odpravila. Komisija bo upravičencu poslala </w:t>
      </w:r>
      <w:r>
        <w:rPr>
          <w:i/>
        </w:rPr>
        <w:t>uradno obvestilo</w:t>
      </w:r>
      <w:r>
        <w:t>, v katerem ga bo o tem obvestila.</w:t>
      </w:r>
    </w:p>
    <w:p w14:paraId="3BBB8D0F" w14:textId="77777777" w:rsidR="00D30E81" w:rsidRPr="00D06D68" w:rsidRDefault="00D30E81" w:rsidP="00797757">
      <w:pPr>
        <w:pStyle w:val="Heading3"/>
        <w:spacing w:before="100" w:beforeAutospacing="1" w:after="100" w:afterAutospacing="1"/>
      </w:pPr>
      <w:bookmarkStart w:id="153" w:name="_Toc441250871"/>
      <w:bookmarkStart w:id="154" w:name="_Toc1637209"/>
      <w:bookmarkStart w:id="155" w:name="_Toc30751996"/>
      <w:r>
        <w:t>II.24.2 Začasna prekinitev plačilnih rokov</w:t>
      </w:r>
      <w:bookmarkEnd w:id="153"/>
      <w:bookmarkEnd w:id="154"/>
      <w:bookmarkEnd w:id="155"/>
    </w:p>
    <w:p w14:paraId="3BBB8D10" w14:textId="7F0755A2" w:rsidR="00D30E81" w:rsidRPr="004264AF" w:rsidRDefault="00D30E81" w:rsidP="001C2768">
      <w:pPr>
        <w:spacing w:before="100" w:beforeAutospacing="1" w:after="0" w:line="240" w:lineRule="auto"/>
        <w:ind w:left="960" w:hanging="960"/>
        <w:jc w:val="both"/>
        <w:rPr>
          <w:szCs w:val="24"/>
        </w:rPr>
      </w:pPr>
      <w:r>
        <w:rPr>
          <w:b/>
        </w:rPr>
        <w:t>II.24.2.1</w:t>
      </w:r>
      <w:r>
        <w:t xml:space="preserve"> Komisija lahko kadar koli začasno prekine plačilni rok iz členov I.</w:t>
      </w:r>
      <w:r w:rsidR="00AE6D9E">
        <w:t>4</w:t>
      </w:r>
      <w:r>
        <w:t>.2, I.</w:t>
      </w:r>
      <w:r w:rsidR="00AE6D9E">
        <w:t>4</w:t>
      </w:r>
      <w:r>
        <w:t>.3 in I.</w:t>
      </w:r>
      <w:r w:rsidR="00AE6D9E">
        <w:t>4</w:t>
      </w:r>
      <w:r>
        <w:t>.</w:t>
      </w:r>
      <w:r w:rsidR="00AE6D9E">
        <w:t>5</w:t>
      </w:r>
      <w:r>
        <w:t>, če zahtevku za plačilo ni mogoče ugoditi, ker:</w:t>
      </w:r>
    </w:p>
    <w:p w14:paraId="3BBB8D11" w14:textId="77777777" w:rsidR="00D30E81" w:rsidRPr="004264AF" w:rsidRDefault="00D30E81" w:rsidP="001C2768">
      <w:pPr>
        <w:numPr>
          <w:ilvl w:val="0"/>
          <w:numId w:val="90"/>
        </w:numPr>
        <w:spacing w:after="100" w:afterAutospacing="1" w:line="240" w:lineRule="auto"/>
        <w:ind w:left="1560" w:hanging="567"/>
        <w:jc w:val="both"/>
        <w:rPr>
          <w:szCs w:val="24"/>
        </w:rPr>
      </w:pPr>
      <w:r>
        <w:t>ni skladen s sporazumom;</w:t>
      </w:r>
    </w:p>
    <w:p w14:paraId="3BBB8D12"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t>ustrezna dokazila niso bila predložena ali</w:t>
      </w:r>
    </w:p>
    <w:p w14:paraId="3BBB8D13"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t>obstaja dvom glede upravičenosti stroškov, prijavljenih v računovodskih izkazih, in so potrebna dodatna preverjanja, pregledi, revizije ali preiskave.</w:t>
      </w:r>
    </w:p>
    <w:p w14:paraId="3BBB8D14" w14:textId="77777777" w:rsidR="00D30E81" w:rsidRPr="004264AF" w:rsidRDefault="00D30E81" w:rsidP="001C2768">
      <w:pPr>
        <w:spacing w:before="100" w:beforeAutospacing="1" w:after="0" w:line="240" w:lineRule="auto"/>
        <w:jc w:val="both"/>
        <w:rPr>
          <w:szCs w:val="24"/>
        </w:rPr>
      </w:pPr>
      <w:r>
        <w:rPr>
          <w:b/>
        </w:rPr>
        <w:t>II.24.2.2</w:t>
      </w:r>
      <w:r>
        <w:t xml:space="preserve"> Komisija mora upravičencu poslati </w:t>
      </w:r>
      <w:r>
        <w:rPr>
          <w:i/>
        </w:rPr>
        <w:t>uradno obvestilo</w:t>
      </w:r>
      <w:r>
        <w:t>, v katerem ga obvešča o:</w:t>
      </w:r>
    </w:p>
    <w:p w14:paraId="3BBB8D15" w14:textId="77777777" w:rsidR="00D30E81" w:rsidRPr="004264AF" w:rsidRDefault="00D30E81" w:rsidP="001C2768">
      <w:pPr>
        <w:numPr>
          <w:ilvl w:val="0"/>
          <w:numId w:val="91"/>
        </w:numPr>
        <w:spacing w:after="100" w:afterAutospacing="1" w:line="240" w:lineRule="auto"/>
        <w:ind w:left="1560" w:hanging="567"/>
        <w:jc w:val="both"/>
        <w:rPr>
          <w:szCs w:val="24"/>
        </w:rPr>
      </w:pPr>
      <w:r>
        <w:t>začasni prekinitvi in</w:t>
      </w:r>
    </w:p>
    <w:p w14:paraId="3BBB8D16" w14:textId="77777777" w:rsidR="00D30E81" w:rsidRPr="004264AF" w:rsidRDefault="00D30E81" w:rsidP="00D6479B">
      <w:pPr>
        <w:numPr>
          <w:ilvl w:val="0"/>
          <w:numId w:val="91"/>
        </w:numPr>
        <w:spacing w:before="100" w:beforeAutospacing="1" w:after="100" w:afterAutospacing="1" w:line="240" w:lineRule="auto"/>
        <w:ind w:left="1560" w:hanging="567"/>
        <w:jc w:val="both"/>
        <w:rPr>
          <w:szCs w:val="24"/>
        </w:rPr>
      </w:pPr>
      <w:r>
        <w:t>razlogih za začasno prekinitev.</w:t>
      </w:r>
    </w:p>
    <w:p w14:paraId="3BBB8D17" w14:textId="77777777" w:rsidR="00D30E81" w:rsidRPr="004264AF" w:rsidRDefault="00D30E81" w:rsidP="00797757">
      <w:pPr>
        <w:spacing w:before="100" w:beforeAutospacing="1" w:after="100" w:afterAutospacing="1" w:line="240" w:lineRule="auto"/>
        <w:ind w:left="960"/>
        <w:jc w:val="both"/>
        <w:rPr>
          <w:szCs w:val="24"/>
        </w:rPr>
      </w:pPr>
      <w:r>
        <w:t xml:space="preserve">Začasna prekinitev začne učinkovati na dan, ko Komisija pošlje </w:t>
      </w:r>
      <w:r>
        <w:rPr>
          <w:i/>
        </w:rPr>
        <w:t>uradno obvestilo</w:t>
      </w:r>
      <w:r>
        <w:t>.</w:t>
      </w:r>
    </w:p>
    <w:p w14:paraId="3BBB8D18" w14:textId="77777777" w:rsidR="00D30E81" w:rsidRPr="004264AF" w:rsidRDefault="00D30E81" w:rsidP="00797757">
      <w:pPr>
        <w:spacing w:before="100" w:beforeAutospacing="1" w:after="100" w:afterAutospacing="1" w:line="240" w:lineRule="auto"/>
        <w:ind w:left="960" w:hanging="960"/>
        <w:jc w:val="both"/>
        <w:rPr>
          <w:szCs w:val="24"/>
        </w:rPr>
      </w:pPr>
      <w:r>
        <w:rPr>
          <w:b/>
        </w:rPr>
        <w:t>II.24.2.3</w:t>
      </w:r>
      <w:r>
        <w:t xml:space="preserve"> Če pogoji za začasno prekinitev plačilnega roka niso več izpolnjeni, se bo začasna prekinitev odpravila in rok ponovno začel teči.</w:t>
      </w:r>
    </w:p>
    <w:p w14:paraId="3BBB8D19" w14:textId="77777777" w:rsidR="00D30E81" w:rsidRPr="004264AF" w:rsidRDefault="00D30E81" w:rsidP="001C2768">
      <w:pPr>
        <w:spacing w:before="100" w:beforeAutospacing="1" w:after="100" w:afterAutospacing="1" w:line="240" w:lineRule="auto"/>
        <w:ind w:left="960"/>
        <w:jc w:val="both"/>
        <w:rPr>
          <w:szCs w:val="24"/>
        </w:rPr>
      </w:pPr>
      <w:r>
        <w:t>Če začasna prekinitev traja dlje kot dva meseca, upravičenec lahko Komisijo vpraša, ali se bo začasna prekinitev nadaljevala.</w:t>
      </w:r>
    </w:p>
    <w:p w14:paraId="3BBB8D1A" w14:textId="77777777" w:rsidR="00D30E81" w:rsidRPr="004264AF" w:rsidRDefault="00D30E81" w:rsidP="001C2768">
      <w:pPr>
        <w:spacing w:before="100" w:beforeAutospacing="1" w:after="100" w:afterAutospacing="1" w:line="240" w:lineRule="auto"/>
        <w:ind w:left="960"/>
        <w:jc w:val="both"/>
        <w:rPr>
          <w:szCs w:val="24"/>
        </w:rPr>
      </w:pPr>
      <w:r>
        <w:t>Če je bil plačilni rok začasno prekinjen, ker tehnična poročila ali računovodski izkazi niso skladni s sporazumom in popravljeno poročilo ali izkaz ni bil predložen ali pa je bil predložen in tudi zavrnjen, Komisija lahko odpove sporazum, kot je določeno v členu II.17.2.1(b), in zniža nepovratna sredstva, kot je določeno v členu II.25.4.</w:t>
      </w:r>
    </w:p>
    <w:p w14:paraId="2D03BA52" w14:textId="77777777" w:rsidR="00522AC0" w:rsidRDefault="00522AC0" w:rsidP="001C2768">
      <w:bookmarkStart w:id="156" w:name="_Toc441250872"/>
    </w:p>
    <w:p w14:paraId="3BBB8D1B" w14:textId="5421BAAF" w:rsidR="00D30E81" w:rsidRPr="001A04C2" w:rsidRDefault="0093695C" w:rsidP="00797757">
      <w:pPr>
        <w:pStyle w:val="Heading2"/>
        <w:spacing w:before="100" w:beforeAutospacing="1" w:after="100" w:afterAutospacing="1"/>
      </w:pPr>
      <w:bookmarkStart w:id="157" w:name="_Toc1637210"/>
      <w:bookmarkStart w:id="158" w:name="_Toc30751997"/>
      <w:r>
        <w:t>ČLEN II.25 – IZRAČUN KONČNEGA ZNESKA NEPOVRATNIH SREDSTEV</w:t>
      </w:r>
      <w:bookmarkEnd w:id="156"/>
      <w:bookmarkEnd w:id="157"/>
      <w:bookmarkEnd w:id="158"/>
    </w:p>
    <w:p w14:paraId="3BBB8D1C" w14:textId="77777777" w:rsidR="00D30E81" w:rsidRPr="004264AF" w:rsidRDefault="00D30E81" w:rsidP="00797757">
      <w:pPr>
        <w:spacing w:before="100" w:beforeAutospacing="1" w:after="100" w:afterAutospacing="1" w:line="240" w:lineRule="auto"/>
        <w:jc w:val="both"/>
        <w:rPr>
          <w:szCs w:val="24"/>
        </w:rPr>
      </w:pPr>
      <w:r>
        <w:t xml:space="preserve">Končni znesek nepovratnih sredstev je odvisen od obsega, v katerem se </w:t>
      </w:r>
      <w:r>
        <w:rPr>
          <w:i/>
        </w:rPr>
        <w:t>ukrep</w:t>
      </w:r>
      <w:r>
        <w:t xml:space="preserve"> izvaja v skladu s pogoji sporazuma.</w:t>
      </w:r>
    </w:p>
    <w:p w14:paraId="3BBB8D1D" w14:textId="77777777" w:rsidR="00D30E81" w:rsidRPr="004264AF" w:rsidRDefault="00D30E81" w:rsidP="001C2768">
      <w:pPr>
        <w:spacing w:after="100" w:afterAutospacing="1" w:line="240" w:lineRule="auto"/>
        <w:jc w:val="both"/>
        <w:rPr>
          <w:bCs/>
          <w:szCs w:val="24"/>
        </w:rPr>
      </w:pPr>
      <w:r>
        <w:t>Končni znesek nepovratnih sredstev izračuna Komisija ob plačilu razlike. Izračun vključuje naslednje korake:</w:t>
      </w:r>
    </w:p>
    <w:p w14:paraId="3BBB8D1E" w14:textId="3EB336FA" w:rsidR="00D30E81" w:rsidRPr="004264AF" w:rsidRDefault="00D30E81" w:rsidP="001C2768">
      <w:pPr>
        <w:spacing w:after="100" w:afterAutospacing="1" w:line="240" w:lineRule="auto"/>
        <w:ind w:left="567"/>
        <w:jc w:val="both"/>
        <w:rPr>
          <w:szCs w:val="24"/>
        </w:rPr>
      </w:pPr>
      <w:r>
        <w:t>1. korak – uporaba stopnje povračila pri upravičenih stroških in dodatek financiranja, ki ni povezano s stroški, ter prispevkov na enoto, po pavšalni stopnji in v pavšalnem znesku</w:t>
      </w:r>
    </w:p>
    <w:p w14:paraId="3BBB8D1F" w14:textId="78B7E059" w:rsidR="00D30E81" w:rsidRPr="004264AF" w:rsidRDefault="00D30E81" w:rsidP="001C2768">
      <w:pPr>
        <w:spacing w:after="100" w:afterAutospacing="1" w:line="240" w:lineRule="auto"/>
        <w:ind w:left="567"/>
        <w:jc w:val="both"/>
        <w:rPr>
          <w:szCs w:val="24"/>
        </w:rPr>
      </w:pPr>
      <w:r>
        <w:t xml:space="preserve">2. korak – omejitev na </w:t>
      </w:r>
      <w:r>
        <w:rPr>
          <w:i/>
        </w:rPr>
        <w:t>najvišji znesek nepovratnih sredstev</w:t>
      </w:r>
    </w:p>
    <w:p w14:paraId="3BBB8D20" w14:textId="77777777" w:rsidR="00D30E81" w:rsidRPr="004264AF" w:rsidRDefault="00D30E81" w:rsidP="001C2768">
      <w:pPr>
        <w:spacing w:after="100" w:afterAutospacing="1" w:line="240" w:lineRule="auto"/>
        <w:ind w:left="567"/>
        <w:jc w:val="both"/>
        <w:rPr>
          <w:szCs w:val="24"/>
        </w:rPr>
      </w:pPr>
      <w:r>
        <w:t>3. korak – znižanje zaradi pravila neprofitnosti</w:t>
      </w:r>
    </w:p>
    <w:p w14:paraId="3BBB8D21" w14:textId="77777777" w:rsidR="00D30E81" w:rsidRPr="004264AF" w:rsidRDefault="00D30E81" w:rsidP="001C2768">
      <w:pPr>
        <w:spacing w:after="100" w:afterAutospacing="1" w:line="240" w:lineRule="auto"/>
        <w:ind w:left="567"/>
        <w:jc w:val="both"/>
        <w:rPr>
          <w:szCs w:val="24"/>
        </w:rPr>
      </w:pPr>
      <w:r>
        <w:t>4. korak – znižanje zaradi nepravilnega izvajanja ali kršitve drugih obveznosti.</w:t>
      </w:r>
    </w:p>
    <w:p w14:paraId="3BBB8D22" w14:textId="4C04238F" w:rsidR="00D30E81" w:rsidRPr="00D06D68" w:rsidRDefault="00D30E81" w:rsidP="001C2768">
      <w:pPr>
        <w:pStyle w:val="Heading3"/>
        <w:spacing w:before="100" w:beforeAutospacing="1" w:after="100" w:afterAutospacing="1"/>
        <w:ind w:left="851" w:hanging="851"/>
      </w:pPr>
      <w:bookmarkStart w:id="159" w:name="_Toc441250873"/>
      <w:bookmarkStart w:id="160" w:name="_Toc1637211"/>
      <w:bookmarkStart w:id="161" w:name="_Toc30751998"/>
      <w:r>
        <w:t>II.25.1</w:t>
      </w:r>
      <w:r>
        <w:tab/>
        <w:t>1. korak – uporaba stopnje povračila pri upravičenih stroških in dodatek financiranja, ki ni povezano s stroški, ter prispevkov na enoto, po pavšalni stopnji in v pavšalnem znesku</w:t>
      </w:r>
      <w:bookmarkEnd w:id="159"/>
      <w:bookmarkEnd w:id="160"/>
      <w:bookmarkEnd w:id="161"/>
    </w:p>
    <w:p w14:paraId="3BBB8D23" w14:textId="77777777" w:rsidR="00D30E81" w:rsidRPr="004264AF" w:rsidRDefault="00D30E81" w:rsidP="00797757">
      <w:pPr>
        <w:spacing w:before="100" w:beforeAutospacing="1" w:after="100" w:afterAutospacing="1" w:line="240" w:lineRule="auto"/>
        <w:jc w:val="both"/>
        <w:rPr>
          <w:szCs w:val="24"/>
        </w:rPr>
      </w:pPr>
      <w:r>
        <w:t>Ta korak se uporablja, kot sledi:</w:t>
      </w:r>
    </w:p>
    <w:p w14:paraId="7E77946D" w14:textId="77777777" w:rsidR="00180212" w:rsidRPr="00180212" w:rsidRDefault="00180212" w:rsidP="001C2768">
      <w:pPr>
        <w:numPr>
          <w:ilvl w:val="0"/>
          <w:numId w:val="92"/>
        </w:numPr>
        <w:spacing w:before="100" w:beforeAutospacing="1" w:after="240" w:line="240" w:lineRule="auto"/>
        <w:ind w:left="851" w:hanging="567"/>
        <w:jc w:val="both"/>
        <w:rPr>
          <w:szCs w:val="24"/>
        </w:rPr>
      </w:pPr>
      <w:r>
        <w:t>če so, kot je določeno v členu I.3.2(a)(i), nepovratna sredstva v obliki povračila dejansko nastalih upravičenih stroškov, se stopnja povračila, določena v navedenem členu, uporabi za navedene upravičene stroške, kakor jih odobri Komisija za ustrezne kategorije stroškov, upravičence in povezane subjekte;</w:t>
      </w:r>
    </w:p>
    <w:p w14:paraId="3BBB8D24" w14:textId="6814137B" w:rsidR="00D30E81" w:rsidRDefault="00D30E81" w:rsidP="00CC5258">
      <w:pPr>
        <w:numPr>
          <w:ilvl w:val="0"/>
          <w:numId w:val="92"/>
        </w:numPr>
        <w:spacing w:before="100" w:beforeAutospacing="1" w:after="100" w:afterAutospacing="1" w:line="240" w:lineRule="auto"/>
        <w:ind w:left="851" w:hanging="567"/>
        <w:jc w:val="both"/>
        <w:rPr>
          <w:szCs w:val="24"/>
        </w:rPr>
      </w:pPr>
      <w:r>
        <w:t>če so, kot je določeno v členu I.3.2(a)(ii) do (v), nepovratna sredstva v obliki povračila upravičenih stroškov na enoto, v pavšalnem znesku ali po pavšalni stopnji, se stopnja povračila, določena v navedenem členu, uporabi za navedene upravičene stroške, kakor jih odobri Komisija za ustrezne kategorije stroškov, za upravičenca in njegove povezane subjekte.</w:t>
      </w:r>
    </w:p>
    <w:p w14:paraId="5084B113" w14:textId="77777777" w:rsidR="00180212" w:rsidRPr="00180212" w:rsidRDefault="00180212" w:rsidP="001C2768">
      <w:pPr>
        <w:spacing w:after="0" w:line="240" w:lineRule="auto"/>
        <w:ind w:left="851"/>
        <w:jc w:val="both"/>
        <w:rPr>
          <w:szCs w:val="24"/>
        </w:rPr>
      </w:pPr>
      <w:r>
        <w:t>Znesek prijavljenega dela prostovoljcev kot neposrednih upravičenih stroškov za ustrezne upravičence in povezane subjekte mora biti omejen na naslednji znesek, pri čemer se upošteva najnižji znesek:</w:t>
      </w:r>
    </w:p>
    <w:p w14:paraId="0D8A171F" w14:textId="77777777" w:rsidR="00180212" w:rsidRPr="00180212" w:rsidRDefault="00180212" w:rsidP="001C2768">
      <w:pPr>
        <w:spacing w:after="0" w:line="240" w:lineRule="auto"/>
        <w:ind w:left="1418" w:hanging="567"/>
        <w:jc w:val="both"/>
        <w:rPr>
          <w:szCs w:val="24"/>
        </w:rPr>
      </w:pPr>
      <w:r>
        <w:t>(i)</w:t>
      </w:r>
      <w:r>
        <w:tab/>
        <w:t>skupne vire financiranja, kot so navedeni v končnem računovodskem izkazu in jih sprejme Komisija, pomnožene s 50 %; ali</w:t>
      </w:r>
    </w:p>
    <w:p w14:paraId="2A70D3DF" w14:textId="576D2A13" w:rsidR="00180212" w:rsidRPr="001C2768" w:rsidRDefault="00180212" w:rsidP="001C2768">
      <w:pPr>
        <w:spacing w:after="0" w:line="240" w:lineRule="auto"/>
        <w:ind w:left="1418" w:hanging="567"/>
        <w:jc w:val="both"/>
        <w:rPr>
          <w:szCs w:val="24"/>
        </w:rPr>
      </w:pPr>
      <w:r>
        <w:t>(ii)</w:t>
      </w:r>
      <w:r>
        <w:tab/>
        <w:t>znesek dela prostovoljcev, naveden v načrtu proračuna iz Priloge II;</w:t>
      </w:r>
    </w:p>
    <w:p w14:paraId="3BBB8D25" w14:textId="77777777" w:rsidR="00D30E81" w:rsidRPr="004264AF" w:rsidRDefault="00D30E81" w:rsidP="001C2768">
      <w:pPr>
        <w:numPr>
          <w:ilvl w:val="0"/>
          <w:numId w:val="92"/>
        </w:numPr>
        <w:spacing w:before="240" w:line="240" w:lineRule="auto"/>
        <w:ind w:left="851" w:hanging="567"/>
        <w:jc w:val="both"/>
        <w:rPr>
          <w:szCs w:val="24"/>
        </w:rPr>
      </w:pPr>
      <w:r>
        <w:t>če so, kot je določeno v členu I.3.2(b), nepovratna sredstva v obliki prispevka na enoto, se prispevek na enoto, določen v navedenem členu, pomnoži z dejanskim številom enot, ki jih odobri Komisija za upravičenca in njegove povezane subjekte;</w:t>
      </w:r>
    </w:p>
    <w:p w14:paraId="3BBB8D26" w14:textId="77777777" w:rsidR="00D30E81" w:rsidRPr="004264AF" w:rsidRDefault="00D30E81" w:rsidP="001C2768">
      <w:pPr>
        <w:numPr>
          <w:ilvl w:val="0"/>
          <w:numId w:val="92"/>
        </w:numPr>
        <w:spacing w:before="240" w:line="240" w:lineRule="auto"/>
        <w:ind w:left="851" w:hanging="567"/>
        <w:jc w:val="both"/>
        <w:rPr>
          <w:szCs w:val="24"/>
        </w:rPr>
      </w:pPr>
      <w:r>
        <w:t xml:space="preserve">če so, kot je določeno v členu I.3.2(c), nepovratna sredstva v obliki prispevka v pavšalnem znesku, Komisija uporabi pavšalni znesek, določen v navedenem členu, za upravičenca in njegove povezane subjekte, če ugotovi pravilnost izvajanja ustreznih nalog ali dela </w:t>
      </w:r>
      <w:r>
        <w:rPr>
          <w:i/>
        </w:rPr>
        <w:t>ukrepa</w:t>
      </w:r>
      <w:r>
        <w:t xml:space="preserve"> v skladu s Prilogo I;</w:t>
      </w:r>
    </w:p>
    <w:p w14:paraId="4E660355" w14:textId="653C5762" w:rsidR="00180212" w:rsidRDefault="00D30E81" w:rsidP="001C2768">
      <w:pPr>
        <w:numPr>
          <w:ilvl w:val="0"/>
          <w:numId w:val="92"/>
        </w:numPr>
        <w:spacing w:before="240" w:line="240" w:lineRule="auto"/>
        <w:ind w:left="851" w:hanging="567"/>
        <w:jc w:val="both"/>
        <w:rPr>
          <w:szCs w:val="24"/>
        </w:rPr>
      </w:pPr>
      <w:r>
        <w:t>če so, kot je določeno v členu I.3.2(d), nepovratna sredstva v obliki prispevka po pavšalni stopnji, se pavšalna stopnja iz navedenega člena uporabi za upravičene stroške ali prispevek, ki ga odobri Komisija za upravičenca in njegove pridružene subjekte;</w:t>
      </w:r>
    </w:p>
    <w:p w14:paraId="65DE8B1A" w14:textId="56F1348D" w:rsidR="008B200C" w:rsidRPr="00D92B6C" w:rsidRDefault="00180212" w:rsidP="001C2768">
      <w:pPr>
        <w:numPr>
          <w:ilvl w:val="0"/>
          <w:numId w:val="92"/>
        </w:numPr>
        <w:spacing w:before="240" w:line="240" w:lineRule="auto"/>
        <w:ind w:left="851" w:hanging="567"/>
        <w:jc w:val="both"/>
        <w:rPr>
          <w:szCs w:val="24"/>
        </w:rPr>
      </w:pPr>
      <w:r>
        <w:t>če so, kot je določeno v členu I.3.2(e), nepovratna sredstva v obliki financiranja, ki ni povezano s stroški, Komisija uporabi znesek, določen v navedenem členu, za ustrezne upravičence in povezane subjekte, če ugotovi, da [so bili izpolnjeni pogoji, navedeni v Prilogi I,][in][so bili doseženi rezultati, navedeni v Prilogi I].</w:t>
      </w:r>
    </w:p>
    <w:p w14:paraId="3BBB8D28" w14:textId="77777777" w:rsidR="00D30E81" w:rsidRPr="008B200C" w:rsidRDefault="00D30E81" w:rsidP="006F794A">
      <w:pPr>
        <w:spacing w:before="100" w:beforeAutospacing="1" w:after="100" w:afterAutospacing="1" w:line="240" w:lineRule="auto"/>
        <w:jc w:val="both"/>
        <w:rPr>
          <w:szCs w:val="24"/>
        </w:rPr>
      </w:pPr>
      <w:r>
        <w:t>Če člen I.3.2 določa kombinacijo različnih oblik nepovratnih sredstev, je treba izračunane zneske sešteti.</w:t>
      </w:r>
    </w:p>
    <w:p w14:paraId="3BBB8D29" w14:textId="77777777" w:rsidR="00D30E81" w:rsidRPr="00D06D68" w:rsidRDefault="00D30E81" w:rsidP="00797757">
      <w:pPr>
        <w:pStyle w:val="Heading3"/>
        <w:spacing w:before="100" w:beforeAutospacing="1" w:after="100" w:afterAutospacing="1"/>
      </w:pPr>
      <w:bookmarkStart w:id="162" w:name="_Toc441250874"/>
      <w:bookmarkStart w:id="163" w:name="_Toc1637212"/>
      <w:bookmarkStart w:id="164" w:name="_Toc30751999"/>
      <w:r>
        <w:t>II.25.2</w:t>
      </w:r>
      <w:r>
        <w:tab/>
        <w:t xml:space="preserve"> 2. korak – omejitev na najvišji znesek nepovratnih sredstev</w:t>
      </w:r>
      <w:bookmarkEnd w:id="162"/>
      <w:bookmarkEnd w:id="163"/>
      <w:bookmarkEnd w:id="164"/>
    </w:p>
    <w:p w14:paraId="3BBB8D2A" w14:textId="77777777" w:rsidR="00D30E81" w:rsidRPr="004264AF" w:rsidRDefault="00D30E81" w:rsidP="00797757">
      <w:pPr>
        <w:spacing w:before="100" w:beforeAutospacing="1" w:after="100" w:afterAutospacing="1" w:line="240" w:lineRule="auto"/>
        <w:jc w:val="both"/>
        <w:rPr>
          <w:szCs w:val="24"/>
        </w:rPr>
      </w:pPr>
      <w:r>
        <w:t xml:space="preserve">Skupni znesek, ki ga upravičencu plača Komisija, v nobenem primeru ne sme presegati </w:t>
      </w:r>
      <w:r>
        <w:rPr>
          <w:i/>
        </w:rPr>
        <w:t>najvišjega zneska nepovratnih sredstev</w:t>
      </w:r>
      <w:r>
        <w:t>.</w:t>
      </w:r>
    </w:p>
    <w:p w14:paraId="04198CB2" w14:textId="77777777" w:rsidR="0039285F" w:rsidRDefault="00D30E81" w:rsidP="00797757">
      <w:pPr>
        <w:spacing w:before="100" w:beforeAutospacing="1" w:after="100" w:afterAutospacing="1" w:line="240" w:lineRule="auto"/>
        <w:jc w:val="both"/>
      </w:pPr>
      <w:r>
        <w:t xml:space="preserve">Če je znesek, izračunan na podlagi 1. koraka, višji od tega najvišjega zneska, se končni znesek nepovratnih sredstev omeji na slednjega. </w:t>
      </w:r>
    </w:p>
    <w:p w14:paraId="3BBB8D2B" w14:textId="63372E20" w:rsidR="00D30E81" w:rsidRPr="004264AF" w:rsidRDefault="00180212" w:rsidP="00797757">
      <w:pPr>
        <w:spacing w:before="100" w:beforeAutospacing="1" w:after="100" w:afterAutospacing="1" w:line="240" w:lineRule="auto"/>
        <w:jc w:val="both"/>
        <w:rPr>
          <w:szCs w:val="24"/>
        </w:rPr>
      </w:pPr>
      <w:r>
        <w:t>Če se delo prostovoljcev prijavi kot del neposrednih upravičenih stroškov, je končni znesek nepovratnih sredstev omejen na znesek skupnih upravičenih stroškov in prispevkov, ki jih odobri Komisija, od česar se odšteje znesek dela prostovoljcev, ki ga odobri Komisija.</w:t>
      </w:r>
    </w:p>
    <w:p w14:paraId="3BBB8D2C" w14:textId="77777777" w:rsidR="00D30E81" w:rsidRPr="00D06D68" w:rsidRDefault="00D30E81" w:rsidP="00797757">
      <w:pPr>
        <w:pStyle w:val="Heading3"/>
        <w:spacing w:before="100" w:beforeAutospacing="1" w:after="100" w:afterAutospacing="1"/>
      </w:pPr>
      <w:bookmarkStart w:id="165" w:name="_Toc441250875"/>
      <w:bookmarkStart w:id="166" w:name="_Toc1637213"/>
      <w:bookmarkStart w:id="167" w:name="_Toc30752000"/>
      <w:r>
        <w:t>II.25.3</w:t>
      </w:r>
      <w:r>
        <w:tab/>
        <w:t xml:space="preserve"> 3. korak – znižanje zaradi pravila neprofitnosti</w:t>
      </w:r>
      <w:bookmarkEnd w:id="165"/>
      <w:bookmarkEnd w:id="166"/>
      <w:bookmarkEnd w:id="167"/>
    </w:p>
    <w:p w14:paraId="4BF0C760" w14:textId="1AAFF614" w:rsidR="00F53C88" w:rsidRDefault="00D30E81" w:rsidP="00F53C88">
      <w:pPr>
        <w:spacing w:before="100" w:beforeAutospacing="1" w:after="100" w:afterAutospacing="1" w:line="240" w:lineRule="auto"/>
        <w:jc w:val="both"/>
        <w:rPr>
          <w:szCs w:val="24"/>
        </w:rPr>
      </w:pPr>
      <w:r>
        <w:t>Nepovratna sredstva ne smejo ustvariti dobička za upravičenca, razen če ni drugače določeno v posebnih pogojih.</w:t>
      </w:r>
    </w:p>
    <w:p w14:paraId="37FC31EB" w14:textId="77777777" w:rsidR="008B200C" w:rsidRPr="008B200C" w:rsidRDefault="008B200C" w:rsidP="008B200C">
      <w:pPr>
        <w:spacing w:before="100" w:beforeAutospacing="1" w:after="100" w:afterAutospacing="1" w:line="240" w:lineRule="auto"/>
        <w:jc w:val="both"/>
        <w:rPr>
          <w:rFonts w:eastAsia="Times New Roman"/>
          <w:szCs w:val="20"/>
        </w:rPr>
      </w:pPr>
      <w:r>
        <w:t>Dobiček je treba izračunati na naslednji način:</w:t>
      </w:r>
    </w:p>
    <w:p w14:paraId="4E3202D1" w14:textId="77777777" w:rsidR="0099192F" w:rsidRDefault="008B200C" w:rsidP="001C2768">
      <w:pPr>
        <w:spacing w:before="100" w:beforeAutospacing="1" w:after="240" w:line="240" w:lineRule="auto"/>
        <w:ind w:left="851" w:hanging="567"/>
        <w:jc w:val="both"/>
        <w:rPr>
          <w:rFonts w:eastAsia="Times New Roman"/>
          <w:szCs w:val="20"/>
        </w:rPr>
      </w:pPr>
      <w:r>
        <w:t>(a)</w:t>
      </w:r>
      <w:r>
        <w:tab/>
        <w:t>izračuna se presežek skupnih prejemkov ukrepa nad skupnimi upravičenimi stroški ukrepa, kot sledi:</w:t>
      </w:r>
    </w:p>
    <w:p w14:paraId="520CD19E" w14:textId="0332B683" w:rsidR="008B200C" w:rsidRPr="008B200C" w:rsidRDefault="008B200C" w:rsidP="001C2768">
      <w:pPr>
        <w:spacing w:after="240" w:line="240" w:lineRule="auto"/>
        <w:ind w:left="1135" w:hanging="284"/>
        <w:jc w:val="both"/>
        <w:rPr>
          <w:rFonts w:eastAsia="Times New Roman"/>
          <w:szCs w:val="20"/>
        </w:rPr>
      </w:pPr>
      <w:r>
        <w:t>{</w:t>
      </w:r>
      <w:r>
        <w:tab/>
        <w:t xml:space="preserve">prejemki ukrepa, </w:t>
      </w:r>
    </w:p>
    <w:p w14:paraId="50D2713D" w14:textId="77777777" w:rsidR="008B200C" w:rsidRPr="008B200C" w:rsidRDefault="008B200C" w:rsidP="001C2768">
      <w:pPr>
        <w:spacing w:after="240" w:line="240" w:lineRule="auto"/>
        <w:ind w:left="1134"/>
        <w:jc w:val="both"/>
        <w:rPr>
          <w:rFonts w:eastAsia="Times New Roman"/>
          <w:szCs w:val="20"/>
        </w:rPr>
      </w:pPr>
      <w:r>
        <w:t xml:space="preserve">od katerih se odštejejo </w:t>
      </w:r>
    </w:p>
    <w:p w14:paraId="344F1F02" w14:textId="11F40F6B" w:rsidR="008B200C" w:rsidRPr="008B200C" w:rsidRDefault="003A525B" w:rsidP="001C2768">
      <w:pPr>
        <w:spacing w:after="0" w:line="240" w:lineRule="auto"/>
        <w:ind w:left="1134"/>
        <w:jc w:val="both"/>
        <w:rPr>
          <w:rFonts w:eastAsia="Times New Roman"/>
          <w:szCs w:val="20"/>
        </w:rPr>
      </w:pPr>
      <w:r>
        <w:t xml:space="preserve">konsolidirani skupni upravičeni stroški in prispevki, ki jih odobri Komisija in ustrezajo zneskom, določenim v skladu s </w:t>
      </w:r>
      <w:r>
        <w:br/>
      </w:r>
      <w:r w:rsidR="00AE6D9E">
        <w:t>členom II.25.1</w:t>
      </w:r>
      <w:r>
        <w:tab/>
        <w:t>}</w:t>
      </w:r>
    </w:p>
    <w:p w14:paraId="5A654E24" w14:textId="77777777" w:rsidR="008B200C" w:rsidRPr="008B200C" w:rsidRDefault="008B200C" w:rsidP="001C2768">
      <w:pPr>
        <w:spacing w:before="240" w:after="240" w:line="240" w:lineRule="auto"/>
        <w:ind w:left="284"/>
        <w:jc w:val="both"/>
        <w:rPr>
          <w:rFonts w:eastAsia="Times New Roman"/>
          <w:szCs w:val="20"/>
        </w:rPr>
      </w:pPr>
      <w:r>
        <w:t>Prejemki ukrepa se izračunajo na naslednji način:</w:t>
      </w:r>
    </w:p>
    <w:p w14:paraId="7F00B7C0" w14:textId="07959568" w:rsidR="0099192F" w:rsidRDefault="008B200C" w:rsidP="001C2768">
      <w:pPr>
        <w:spacing w:after="240" w:line="240" w:lineRule="auto"/>
        <w:ind w:left="1135" w:hanging="284"/>
        <w:jc w:val="both"/>
        <w:rPr>
          <w:rFonts w:eastAsia="Times New Roman"/>
          <w:szCs w:val="20"/>
        </w:rPr>
      </w:pPr>
      <w:r>
        <w:t>{</w:t>
      </w:r>
      <w:r>
        <w:tab/>
        <w:t xml:space="preserve">prihodki, ki se ustvarijo z </w:t>
      </w:r>
      <w:r>
        <w:rPr>
          <w:i/>
        </w:rPr>
        <w:t>ukrepom</w:t>
      </w:r>
      <w:r>
        <w:t xml:space="preserve"> za upravičenca in njegove povezane subjekte, ki niso neprofitne organizacije,</w:t>
      </w:r>
    </w:p>
    <w:p w14:paraId="1DE818BE" w14:textId="23048220" w:rsidR="008B200C" w:rsidRPr="008B200C" w:rsidRDefault="008B200C" w:rsidP="001C2768">
      <w:pPr>
        <w:spacing w:after="240" w:line="240" w:lineRule="auto"/>
        <w:ind w:left="1134"/>
        <w:jc w:val="both"/>
        <w:rPr>
          <w:rFonts w:eastAsia="Times New Roman"/>
          <w:szCs w:val="20"/>
        </w:rPr>
      </w:pPr>
      <w:r>
        <w:t xml:space="preserve">ki se jim prišteje </w:t>
      </w:r>
    </w:p>
    <w:p w14:paraId="6B80110A" w14:textId="6997CBF4" w:rsidR="008B200C" w:rsidRPr="004264AF" w:rsidRDefault="008B200C" w:rsidP="001C2768">
      <w:pPr>
        <w:spacing w:after="0" w:line="240" w:lineRule="auto"/>
        <w:ind w:left="1134"/>
        <w:jc w:val="both"/>
        <w:rPr>
          <w:szCs w:val="24"/>
        </w:rPr>
      </w:pPr>
      <w:r>
        <w:t>znesek, pridobljen ob upoštevanju 1. in 2. koraka</w:t>
      </w:r>
      <w:r>
        <w:tab/>
        <w:t>}</w:t>
      </w:r>
    </w:p>
    <w:p w14:paraId="3BBB8D30" w14:textId="164EAC2C" w:rsidR="00D30E81" w:rsidRPr="004264AF" w:rsidRDefault="00D30E81" w:rsidP="00CC5258">
      <w:pPr>
        <w:spacing w:before="100" w:beforeAutospacing="1" w:after="100" w:afterAutospacing="1" w:line="240" w:lineRule="auto"/>
        <w:ind w:left="851"/>
        <w:jc w:val="both"/>
        <w:rPr>
          <w:szCs w:val="24"/>
        </w:rPr>
      </w:pPr>
      <w:r>
        <w:t xml:space="preserve">Prihodki, ustvarjeni z </w:t>
      </w:r>
      <w:r>
        <w:rPr>
          <w:i/>
        </w:rPr>
        <w:t>ukrepom</w:t>
      </w:r>
      <w:r>
        <w:t>, so konsolidirani prihodki, ki so ugotovljeni, ustvarjeni ali potrjeni za upravičenca in njegove povezane subjekte, ki niso neprofitne organizacije, na dan zahtevka za plačilo razlike, ki ga pripravi upravičenec.</w:t>
      </w:r>
    </w:p>
    <w:p w14:paraId="3BBB8D34" w14:textId="6C0B207F" w:rsidR="00D30E81" w:rsidRPr="004264AF" w:rsidRDefault="00D30E81" w:rsidP="001C2768">
      <w:pPr>
        <w:spacing w:before="100" w:beforeAutospacing="1" w:after="0" w:line="240" w:lineRule="auto"/>
        <w:jc w:val="both"/>
        <w:rPr>
          <w:bCs/>
          <w:szCs w:val="24"/>
        </w:rPr>
      </w:pPr>
      <w:r>
        <w:t>Med prejemke se ne prištevajo:</w:t>
      </w:r>
    </w:p>
    <w:p w14:paraId="7FC03DBD" w14:textId="226B0EF7" w:rsidR="008B200C" w:rsidRPr="004264AF" w:rsidRDefault="008B200C" w:rsidP="001C2768">
      <w:pPr>
        <w:numPr>
          <w:ilvl w:val="1"/>
          <w:numId w:val="129"/>
        </w:numPr>
        <w:spacing w:after="100" w:afterAutospacing="1" w:line="240" w:lineRule="auto"/>
        <w:ind w:left="1418" w:hanging="567"/>
        <w:jc w:val="both"/>
        <w:rPr>
          <w:szCs w:val="24"/>
        </w:rPr>
      </w:pPr>
      <w:r>
        <w:t xml:space="preserve">prispevki v naravi in finančni prispevki tretjih oseb; </w:t>
      </w:r>
    </w:p>
    <w:p w14:paraId="3BBB8D38" w14:textId="0029D1A2" w:rsidR="002C6F7B" w:rsidRPr="003A525B" w:rsidRDefault="00C52E0F" w:rsidP="001C2768">
      <w:pPr>
        <w:numPr>
          <w:ilvl w:val="1"/>
          <w:numId w:val="129"/>
        </w:numPr>
        <w:spacing w:before="100" w:beforeAutospacing="1" w:after="100" w:afterAutospacing="1" w:line="240" w:lineRule="auto"/>
        <w:ind w:left="1418" w:hanging="567"/>
        <w:jc w:val="both"/>
        <w:rPr>
          <w:szCs w:val="24"/>
        </w:rPr>
      </w:pPr>
      <w:r>
        <w:t>v primeru nepovratnih sredstev za poslovanje, zneski, namenjeni oblikovanju rezerv.</w:t>
      </w:r>
    </w:p>
    <w:p w14:paraId="3BBB8D39" w14:textId="0A28B190" w:rsidR="00D30E81" w:rsidRPr="001C2768" w:rsidRDefault="002C6F7B" w:rsidP="001C2768">
      <w:pPr>
        <w:pStyle w:val="ListParagraph"/>
        <w:numPr>
          <w:ilvl w:val="0"/>
          <w:numId w:val="132"/>
        </w:numPr>
        <w:spacing w:before="100" w:beforeAutospacing="1" w:after="100" w:afterAutospacing="1" w:line="240" w:lineRule="auto"/>
        <w:ind w:left="851" w:hanging="567"/>
        <w:jc w:val="both"/>
      </w:pPr>
      <w:r>
        <w:t xml:space="preserve">Če je znesek, ki se izračuna v skladu s točko (a), pozitiven, se ta znesek odšteje od zneska, izračunanega ob upoštevanju 1. in 2. koraka, sorazmerno glede na končno stopnjo povračila dejanskih upravičenih stroškov </w:t>
      </w:r>
      <w:r>
        <w:rPr>
          <w:i/>
        </w:rPr>
        <w:t>ukrepa</w:t>
      </w:r>
      <w:r>
        <w:t xml:space="preserve">, ki jo odobri Komisija za kategorije stroškov iz člena I.3.2(a)(i). </w:t>
      </w:r>
    </w:p>
    <w:p w14:paraId="3BBB8D3A" w14:textId="56309277" w:rsidR="00D30E81" w:rsidRPr="00D06D68" w:rsidRDefault="00D30E81" w:rsidP="001C2768">
      <w:pPr>
        <w:pStyle w:val="Heading3"/>
        <w:spacing w:before="100" w:beforeAutospacing="1" w:after="100" w:afterAutospacing="1"/>
        <w:ind w:left="851" w:hanging="851"/>
      </w:pPr>
      <w:bookmarkStart w:id="168" w:name="_Toc441250876"/>
      <w:bookmarkStart w:id="169" w:name="_Toc1637214"/>
      <w:bookmarkStart w:id="170" w:name="_Toc30752001"/>
      <w:r>
        <w:t>II.25.4</w:t>
      </w:r>
      <w:r>
        <w:tab/>
        <w:t>4. korak – znižanje zaradi nepravilnega izvajanja ali kršitve drugih obveznosti</w:t>
      </w:r>
      <w:bookmarkEnd w:id="168"/>
      <w:bookmarkEnd w:id="169"/>
      <w:bookmarkEnd w:id="170"/>
    </w:p>
    <w:p w14:paraId="3BBB8D3B" w14:textId="6A28E0F0" w:rsidR="00D30E81" w:rsidRPr="004264AF" w:rsidRDefault="00D30E81" w:rsidP="00797757">
      <w:pPr>
        <w:spacing w:before="100" w:beforeAutospacing="1" w:after="100" w:afterAutospacing="1" w:line="240" w:lineRule="auto"/>
        <w:jc w:val="both"/>
        <w:rPr>
          <w:szCs w:val="24"/>
        </w:rPr>
      </w:pPr>
      <w:r>
        <w:t xml:space="preserve">Komisija lahko zniža </w:t>
      </w:r>
      <w:r>
        <w:rPr>
          <w:i/>
        </w:rPr>
        <w:t>najvišji znesek nepovratnih sredstev</w:t>
      </w:r>
      <w:r>
        <w:t xml:space="preserve">, če se </w:t>
      </w:r>
      <w:r>
        <w:rPr>
          <w:i/>
        </w:rPr>
        <w:t>ukrep</w:t>
      </w:r>
      <w:r>
        <w:t xml:space="preserve"> ne izvaja pravilno, kot je opisano v Prilogi I</w:t>
      </w:r>
      <w:r w:rsidR="00AE6D9E">
        <w:t>I</w:t>
      </w:r>
      <w:r>
        <w:t xml:space="preserve"> (tj. če se ne izvaja ali se izvaja slabo, delno ali z zamudo), ali če je bila kršena druga obveznost iz sporazuma.</w:t>
      </w:r>
    </w:p>
    <w:p w14:paraId="3BBB8D3C" w14:textId="77777777" w:rsidR="00D30E81" w:rsidRPr="004264AF" w:rsidRDefault="00D30E81" w:rsidP="00797757">
      <w:pPr>
        <w:spacing w:before="100" w:beforeAutospacing="1" w:after="100" w:afterAutospacing="1" w:line="240" w:lineRule="auto"/>
        <w:jc w:val="both"/>
        <w:rPr>
          <w:szCs w:val="24"/>
        </w:rPr>
      </w:pPr>
      <w:r>
        <w:t xml:space="preserve">Znesek znižanja bo sorazmeren s stopnjo nepravilnega izvajanja </w:t>
      </w:r>
      <w:r>
        <w:rPr>
          <w:i/>
        </w:rPr>
        <w:t>ukrepa</w:t>
      </w:r>
      <w:r>
        <w:t xml:space="preserve"> ali z resnostjo kršitve.</w:t>
      </w:r>
    </w:p>
    <w:p w14:paraId="3BBB8D3D" w14:textId="77777777" w:rsidR="00D30E81" w:rsidRDefault="00D30E81" w:rsidP="001C2768">
      <w:pPr>
        <w:spacing w:before="100" w:beforeAutospacing="1" w:after="0" w:line="240" w:lineRule="auto"/>
        <w:jc w:val="both"/>
        <w:rPr>
          <w:szCs w:val="24"/>
        </w:rPr>
      </w:pPr>
      <w:r>
        <w:t xml:space="preserve">Preden Komisija zniža nepovratna sredstva, mora upravičencu poslati </w:t>
      </w:r>
      <w:r>
        <w:rPr>
          <w:i/>
        </w:rPr>
        <w:t>uradno obvestilo</w:t>
      </w:r>
      <w:r>
        <w:t>, v katerem ga</w:t>
      </w:r>
    </w:p>
    <w:p w14:paraId="33537478" w14:textId="77777777" w:rsidR="00776C09" w:rsidRDefault="00776C09" w:rsidP="001C2768">
      <w:pPr>
        <w:spacing w:after="0" w:line="240" w:lineRule="auto"/>
        <w:jc w:val="both"/>
        <w:rPr>
          <w:szCs w:val="24"/>
        </w:rPr>
      </w:pPr>
    </w:p>
    <w:p w14:paraId="3BBB8D3E" w14:textId="77777777" w:rsidR="00D30E81" w:rsidRPr="004264AF" w:rsidRDefault="00D30E81" w:rsidP="001C2768">
      <w:pPr>
        <w:numPr>
          <w:ilvl w:val="0"/>
          <w:numId w:val="94"/>
        </w:numPr>
        <w:spacing w:after="0" w:line="240" w:lineRule="auto"/>
        <w:ind w:left="851" w:hanging="567"/>
        <w:jc w:val="both"/>
        <w:rPr>
          <w:szCs w:val="24"/>
        </w:rPr>
      </w:pPr>
      <w:r>
        <w:t>obvešča o:</w:t>
      </w:r>
    </w:p>
    <w:p w14:paraId="3BBB8D3F" w14:textId="77777777" w:rsidR="00D30E81" w:rsidRPr="004264AF" w:rsidRDefault="00D30E81" w:rsidP="001C2768">
      <w:pPr>
        <w:numPr>
          <w:ilvl w:val="0"/>
          <w:numId w:val="95"/>
        </w:numPr>
        <w:spacing w:after="100" w:afterAutospacing="1" w:line="240" w:lineRule="auto"/>
        <w:ind w:left="1418" w:hanging="567"/>
        <w:jc w:val="both"/>
        <w:rPr>
          <w:szCs w:val="24"/>
        </w:rPr>
      </w:pPr>
      <w:r>
        <w:t xml:space="preserve">svoji nameri, da zniža </w:t>
      </w:r>
      <w:r>
        <w:rPr>
          <w:i/>
        </w:rPr>
        <w:t>najvišji znesek nepovratnih sredstev</w:t>
      </w:r>
      <w:r>
        <w:t>;</w:t>
      </w:r>
    </w:p>
    <w:p w14:paraId="3BBB8D40" w14:textId="77777777" w:rsidR="00D30E81" w:rsidRPr="004264AF" w:rsidRDefault="00D30E81" w:rsidP="00CC5258">
      <w:pPr>
        <w:numPr>
          <w:ilvl w:val="0"/>
          <w:numId w:val="95"/>
        </w:numPr>
        <w:spacing w:before="100" w:beforeAutospacing="1" w:after="100" w:afterAutospacing="1" w:line="240" w:lineRule="auto"/>
        <w:ind w:left="1418" w:hanging="567"/>
        <w:jc w:val="both"/>
        <w:rPr>
          <w:szCs w:val="24"/>
        </w:rPr>
      </w:pPr>
      <w:r>
        <w:t>višini zneska, v kateri namerava znižati nepovratna sredstva;</w:t>
      </w:r>
    </w:p>
    <w:p w14:paraId="3BBB8D41" w14:textId="77777777" w:rsidR="00D30E81" w:rsidRDefault="00D30E81" w:rsidP="001C2768">
      <w:pPr>
        <w:numPr>
          <w:ilvl w:val="0"/>
          <w:numId w:val="95"/>
        </w:numPr>
        <w:spacing w:before="100" w:beforeAutospacing="1" w:after="0" w:line="240" w:lineRule="auto"/>
        <w:ind w:left="1418" w:hanging="567"/>
        <w:jc w:val="both"/>
        <w:rPr>
          <w:szCs w:val="24"/>
        </w:rPr>
      </w:pPr>
      <w:r>
        <w:t>razlogih za znižanje; in</w:t>
      </w:r>
    </w:p>
    <w:p w14:paraId="6C35D29B" w14:textId="77777777" w:rsidR="00776C09" w:rsidRPr="004264AF" w:rsidRDefault="00776C09" w:rsidP="001C2768">
      <w:pPr>
        <w:spacing w:before="100" w:beforeAutospacing="1" w:after="0" w:line="240" w:lineRule="auto"/>
        <w:ind w:left="1418"/>
        <w:jc w:val="both"/>
        <w:rPr>
          <w:szCs w:val="24"/>
        </w:rPr>
      </w:pPr>
    </w:p>
    <w:p w14:paraId="3BBB8D42" w14:textId="77777777" w:rsidR="00D30E81" w:rsidRPr="004264AF" w:rsidRDefault="00D30E81" w:rsidP="001C2768">
      <w:pPr>
        <w:numPr>
          <w:ilvl w:val="0"/>
          <w:numId w:val="94"/>
        </w:numPr>
        <w:spacing w:after="100" w:afterAutospacing="1" w:line="240" w:lineRule="auto"/>
        <w:ind w:left="851" w:hanging="567"/>
        <w:jc w:val="both"/>
        <w:rPr>
          <w:szCs w:val="24"/>
        </w:rPr>
      </w:pPr>
      <w:r>
        <w:t xml:space="preserve"> poziva, naj predloži pripombe v 30 koledarskih dneh po prejemu </w:t>
      </w:r>
      <w:r>
        <w:rPr>
          <w:i/>
        </w:rPr>
        <w:t>uradnega obvestila</w:t>
      </w:r>
      <w:r>
        <w:t>.</w:t>
      </w:r>
    </w:p>
    <w:p w14:paraId="3BBB8D43" w14:textId="77777777" w:rsidR="00D30E81" w:rsidRPr="004264AF" w:rsidRDefault="00D30E81" w:rsidP="00797757">
      <w:pPr>
        <w:spacing w:before="100" w:beforeAutospacing="1" w:after="100" w:afterAutospacing="1" w:line="240" w:lineRule="auto"/>
        <w:jc w:val="both"/>
        <w:rPr>
          <w:szCs w:val="24"/>
        </w:rPr>
      </w:pPr>
      <w:r>
        <w:t xml:space="preserve">Če Komisija ne prejme nobenih pripomb ali sklene, da bo kljub prejetim pripombam izvedla znižanje, bo poslala </w:t>
      </w:r>
      <w:r>
        <w:rPr>
          <w:i/>
        </w:rPr>
        <w:t>uradno obvestilo</w:t>
      </w:r>
      <w:r>
        <w:t>, v katerem bo upravičenca obvestila o svoji odločitvi.</w:t>
      </w:r>
    </w:p>
    <w:p w14:paraId="3BBB8D44" w14:textId="77777777" w:rsidR="00D30E81" w:rsidRPr="004264AF" w:rsidRDefault="00D30E81" w:rsidP="00797757">
      <w:pPr>
        <w:spacing w:before="100" w:beforeAutospacing="1" w:after="100" w:afterAutospacing="1" w:line="240" w:lineRule="auto"/>
        <w:jc w:val="both"/>
        <w:rPr>
          <w:szCs w:val="24"/>
        </w:rPr>
      </w:pPr>
      <w:r>
        <w:t xml:space="preserve">Če se nepovratna sredstva znižajo, mora Komisija znižani znesek nepovratnih sredstev izračunati tako, da znesek znižanja odšteje (izračunano sorazmerno z nepravilnim izvajanjem </w:t>
      </w:r>
      <w:r>
        <w:rPr>
          <w:i/>
        </w:rPr>
        <w:t>ukrepa</w:t>
      </w:r>
      <w:r>
        <w:t xml:space="preserve"> ali resnostjo </w:t>
      </w:r>
      <w:r>
        <w:rPr>
          <w:i/>
        </w:rPr>
        <w:t>kršitve obveznosti</w:t>
      </w:r>
      <w:r>
        <w:t xml:space="preserve">) od </w:t>
      </w:r>
      <w:r>
        <w:rPr>
          <w:i/>
        </w:rPr>
        <w:t>najvišjega zneska nepovratnih sredstev</w:t>
      </w:r>
      <w:r>
        <w:t>.</w:t>
      </w:r>
    </w:p>
    <w:p w14:paraId="3BBB8D45" w14:textId="77777777" w:rsidR="00D30E81" w:rsidRDefault="00D30E81" w:rsidP="001C2768">
      <w:pPr>
        <w:spacing w:before="100" w:beforeAutospacing="1" w:after="0" w:line="240" w:lineRule="auto"/>
        <w:jc w:val="both"/>
        <w:rPr>
          <w:szCs w:val="24"/>
        </w:rPr>
      </w:pPr>
      <w:r>
        <w:t>Končni znesek nepovratnih sredstev bo tisti od spodaj navedenih, ki je nižji:</w:t>
      </w:r>
    </w:p>
    <w:p w14:paraId="59436F1C" w14:textId="77777777" w:rsidR="000E1BBA" w:rsidRPr="004264AF" w:rsidRDefault="000E1BBA" w:rsidP="001C2768">
      <w:pPr>
        <w:spacing w:after="0" w:line="240" w:lineRule="auto"/>
        <w:jc w:val="both"/>
        <w:rPr>
          <w:szCs w:val="24"/>
        </w:rPr>
      </w:pPr>
    </w:p>
    <w:p w14:paraId="3BBB8D46" w14:textId="77777777" w:rsidR="00D30E81" w:rsidRPr="004264AF" w:rsidRDefault="00D30E81" w:rsidP="001C2768">
      <w:pPr>
        <w:numPr>
          <w:ilvl w:val="0"/>
          <w:numId w:val="96"/>
        </w:numPr>
        <w:spacing w:after="100" w:afterAutospacing="1" w:line="240" w:lineRule="auto"/>
        <w:ind w:left="851" w:hanging="567"/>
        <w:jc w:val="both"/>
        <w:rPr>
          <w:szCs w:val="24"/>
        </w:rPr>
      </w:pPr>
      <w:r>
        <w:t>znesek, izračunan na podlagi 1. do 3. koraka; ali</w:t>
      </w:r>
    </w:p>
    <w:p w14:paraId="3BBB8D47" w14:textId="77777777" w:rsidR="00D30E81" w:rsidRDefault="00D30E81" w:rsidP="00CC5258">
      <w:pPr>
        <w:numPr>
          <w:ilvl w:val="0"/>
          <w:numId w:val="96"/>
        </w:numPr>
        <w:spacing w:before="100" w:beforeAutospacing="1" w:after="100" w:afterAutospacing="1" w:line="240" w:lineRule="auto"/>
        <w:ind w:left="851" w:hanging="567"/>
        <w:jc w:val="both"/>
        <w:rPr>
          <w:szCs w:val="24"/>
        </w:rPr>
      </w:pPr>
      <w:r>
        <w:t>znižani znesek nepovratnih sredstev na podlagi 4. koraka.</w:t>
      </w:r>
    </w:p>
    <w:p w14:paraId="3BBB8D49" w14:textId="77777777" w:rsidR="00D30E81" w:rsidRPr="001A04C2" w:rsidRDefault="0093695C" w:rsidP="00797757">
      <w:pPr>
        <w:pStyle w:val="Heading2"/>
        <w:spacing w:before="100" w:beforeAutospacing="1" w:after="100" w:afterAutospacing="1"/>
      </w:pPr>
      <w:bookmarkStart w:id="171" w:name="_Toc441250877"/>
      <w:bookmarkStart w:id="172" w:name="_Toc1637215"/>
      <w:bookmarkStart w:id="173" w:name="_Toc30752002"/>
      <w:r>
        <w:t>ČLEN II.26 – IZTERJAVA</w:t>
      </w:r>
      <w:bookmarkEnd w:id="171"/>
      <w:bookmarkEnd w:id="172"/>
      <w:bookmarkEnd w:id="173"/>
    </w:p>
    <w:p w14:paraId="3BBB8D4A" w14:textId="77777777" w:rsidR="001B3D09" w:rsidRPr="00430E54" w:rsidRDefault="00D30E81" w:rsidP="00797757">
      <w:pPr>
        <w:pStyle w:val="Heading3"/>
        <w:spacing w:before="100" w:beforeAutospacing="1" w:after="100" w:afterAutospacing="1"/>
      </w:pPr>
      <w:bookmarkStart w:id="174" w:name="_Toc1637216"/>
      <w:bookmarkStart w:id="175" w:name="_Toc30752003"/>
      <w:bookmarkStart w:id="176" w:name="_Toc441250878"/>
      <w:r>
        <w:t>II.26.1</w:t>
      </w:r>
      <w:r>
        <w:tab/>
        <w:t>Izterjava</w:t>
      </w:r>
      <w:bookmarkEnd w:id="174"/>
      <w:bookmarkEnd w:id="175"/>
      <w:r>
        <w:t xml:space="preserve"> </w:t>
      </w:r>
    </w:p>
    <w:bookmarkEnd w:id="176"/>
    <w:p w14:paraId="3BBB8D4B" w14:textId="77777777" w:rsidR="00D30E81" w:rsidRPr="004264AF" w:rsidRDefault="00D30E81" w:rsidP="00797757">
      <w:pPr>
        <w:spacing w:before="100" w:beforeAutospacing="1" w:after="100" w:afterAutospacing="1" w:line="240" w:lineRule="auto"/>
        <w:rPr>
          <w:szCs w:val="24"/>
        </w:rPr>
      </w:pPr>
      <w:r>
        <w:t xml:space="preserve">Če je treba v skladu s pogoji sporazuma izterjati določen znesek, mora upravičenec zadevni znesek plačati Komisiji.  </w:t>
      </w:r>
    </w:p>
    <w:p w14:paraId="3BBB8D4C" w14:textId="77777777" w:rsidR="00D30E81" w:rsidRPr="00D06D68" w:rsidRDefault="00E82729" w:rsidP="00797757">
      <w:pPr>
        <w:spacing w:before="100" w:beforeAutospacing="1" w:after="100" w:afterAutospacing="1" w:line="240" w:lineRule="auto"/>
        <w:jc w:val="both"/>
        <w:rPr>
          <w:bCs/>
          <w:szCs w:val="24"/>
        </w:rPr>
      </w:pPr>
      <w:r>
        <w:t>Upravičenec je odgovoren za vračilo kakršnega koli zneska, ki ga je Komisija neupravičeno izplačala kot prispevek k stroškom, ki so nastali njegovim povezanim subjektom.</w:t>
      </w:r>
    </w:p>
    <w:p w14:paraId="3BBB8D4D" w14:textId="77777777" w:rsidR="00D30E81" w:rsidRPr="00D06D68" w:rsidRDefault="00D30E81" w:rsidP="00797757">
      <w:pPr>
        <w:pStyle w:val="Heading3"/>
        <w:spacing w:before="100" w:beforeAutospacing="1" w:after="100" w:afterAutospacing="1"/>
      </w:pPr>
      <w:bookmarkStart w:id="177" w:name="_Toc441250880"/>
      <w:bookmarkStart w:id="178" w:name="_Toc1637217"/>
      <w:bookmarkStart w:id="179" w:name="_Toc30752004"/>
      <w:r>
        <w:t>II.26.2</w:t>
      </w:r>
      <w:r>
        <w:tab/>
        <w:t>Postopek izterjave</w:t>
      </w:r>
      <w:bookmarkEnd w:id="177"/>
      <w:bookmarkEnd w:id="178"/>
      <w:bookmarkEnd w:id="179"/>
    </w:p>
    <w:p w14:paraId="3BBB8D4E" w14:textId="77777777" w:rsidR="00D30E81" w:rsidRPr="004264AF" w:rsidRDefault="00D30E81" w:rsidP="001C2768">
      <w:pPr>
        <w:spacing w:before="100" w:beforeAutospacing="1" w:after="0" w:line="240" w:lineRule="auto"/>
        <w:jc w:val="both"/>
        <w:rPr>
          <w:szCs w:val="24"/>
        </w:rPr>
      </w:pPr>
      <w:r>
        <w:t xml:space="preserve">Pred izterjavo mora Komisija upravičencu poslati </w:t>
      </w:r>
      <w:r>
        <w:rPr>
          <w:i/>
        </w:rPr>
        <w:t>uradno obvestilo</w:t>
      </w:r>
      <w:r>
        <w:t>, v katerem:</w:t>
      </w:r>
    </w:p>
    <w:p w14:paraId="3BBB8D4F" w14:textId="77777777" w:rsidR="00D30E81" w:rsidRPr="004264AF" w:rsidRDefault="00D30E81" w:rsidP="001C2768">
      <w:pPr>
        <w:numPr>
          <w:ilvl w:val="0"/>
          <w:numId w:val="97"/>
        </w:numPr>
        <w:spacing w:after="100" w:afterAutospacing="1" w:line="240" w:lineRule="auto"/>
        <w:ind w:left="851" w:hanging="567"/>
        <w:jc w:val="both"/>
        <w:rPr>
          <w:szCs w:val="24"/>
        </w:rPr>
      </w:pPr>
      <w:r>
        <w:t>ga obvešča o svoji nameri, da izterja neupravičeno izplačani znesek;</w:t>
      </w:r>
    </w:p>
    <w:p w14:paraId="3BBB8D50"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t>določi dolgovani znesek in razloge za izterjavo in</w:t>
      </w:r>
    </w:p>
    <w:p w14:paraId="3BBB8D51"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t>upravičenca poziva, naj v določenem obdobju predloži morebitne pripombe.</w:t>
      </w:r>
    </w:p>
    <w:p w14:paraId="3BBB8D52" w14:textId="77777777" w:rsidR="00D30E81" w:rsidRPr="004264AF" w:rsidRDefault="00D30E81" w:rsidP="00797757">
      <w:pPr>
        <w:spacing w:before="100" w:beforeAutospacing="1" w:after="100" w:afterAutospacing="1" w:line="240" w:lineRule="auto"/>
        <w:jc w:val="both"/>
        <w:rPr>
          <w:szCs w:val="24"/>
        </w:rPr>
      </w:pPr>
      <w:r>
        <w:t xml:space="preserve">Če upravičenec ne predloži pripomb ali če se Komisija kljub pripombam, ki jih predloži upravičenec, odloči, da bo postopek izterjave izvedla, lahko potrdi izterjavo tako, da upravičencu pošlje </w:t>
      </w:r>
      <w:r>
        <w:rPr>
          <w:i/>
        </w:rPr>
        <w:t>uradno obvestilo</w:t>
      </w:r>
      <w:r>
        <w:t>, ki vključuje opomin, pri čemer navede pogoje in datum plačila.</w:t>
      </w:r>
    </w:p>
    <w:p w14:paraId="3BBB8D53" w14:textId="77777777" w:rsidR="00D30E81" w:rsidRPr="004264AF" w:rsidRDefault="00D30E81" w:rsidP="00797757">
      <w:pPr>
        <w:spacing w:before="100" w:beforeAutospacing="1" w:after="100" w:afterAutospacing="1" w:line="240" w:lineRule="auto"/>
        <w:jc w:val="both"/>
        <w:rPr>
          <w:szCs w:val="24"/>
        </w:rPr>
      </w:pPr>
      <w:r>
        <w:rPr>
          <w:color w:val="000000"/>
        </w:rPr>
        <w:t>Če plačilo ni izvedeno do datuma, določenega v opominu,</w:t>
      </w:r>
      <w:r>
        <w:t xml:space="preserve"> bo Komisija izterjala dolgovani znesek:</w:t>
      </w:r>
    </w:p>
    <w:p w14:paraId="3BBB8D54" w14:textId="77777777" w:rsidR="00D30E81" w:rsidRPr="004264AF" w:rsidRDefault="00D30E81" w:rsidP="00CC5258">
      <w:pPr>
        <w:numPr>
          <w:ilvl w:val="0"/>
          <w:numId w:val="98"/>
        </w:numPr>
        <w:spacing w:before="100" w:beforeAutospacing="1" w:after="100" w:afterAutospacing="1" w:line="240" w:lineRule="auto"/>
        <w:ind w:left="851" w:hanging="567"/>
        <w:jc w:val="both"/>
        <w:rPr>
          <w:szCs w:val="24"/>
        </w:rPr>
      </w:pPr>
      <w:r>
        <w:t>s pobotom tega zneska, brez predhodnega soglasja upravičenca, s katerimi koli zneski, ki jih upravičencu dolguje Komisija ali izvajalska agencija (iz proračuna Unije ali Evropske skupnosti za atomsko energijo (Euratoma)) (v nadaljnjem besedilu: pobot).</w:t>
      </w:r>
    </w:p>
    <w:p w14:paraId="3BBB8D55" w14:textId="77777777" w:rsidR="00D30E81" w:rsidRPr="004264AF" w:rsidRDefault="00D30E81" w:rsidP="001C2768">
      <w:pPr>
        <w:spacing w:before="100" w:beforeAutospacing="1" w:after="100" w:afterAutospacing="1" w:line="240" w:lineRule="auto"/>
        <w:ind w:left="851"/>
        <w:jc w:val="both"/>
        <w:rPr>
          <w:szCs w:val="24"/>
        </w:rPr>
      </w:pPr>
      <w:r>
        <w:t>V izjemnih okoliščinah lahko Komisija zneske pobota pred datumom zapadlosti, da se zaščitijo finančni interesi Unije.</w:t>
      </w:r>
    </w:p>
    <w:p w14:paraId="3BBB8D56" w14:textId="77777777" w:rsidR="00D30E81" w:rsidRPr="004264AF" w:rsidRDefault="00D30E81" w:rsidP="001C2768">
      <w:pPr>
        <w:spacing w:before="100" w:beforeAutospacing="1" w:after="100" w:afterAutospacing="1" w:line="240" w:lineRule="auto"/>
        <w:ind w:left="851"/>
        <w:jc w:val="both"/>
        <w:rPr>
          <w:szCs w:val="24"/>
        </w:rPr>
      </w:pPr>
      <w:r>
        <w:t xml:space="preserve">Zoper tak pobot se lahko vloži </w:t>
      </w:r>
      <w:r>
        <w:rPr>
          <w:i/>
        </w:rPr>
        <w:t>tožba</w:t>
      </w:r>
      <w:r>
        <w:t xml:space="preserve"> pri Splošnem sodišču Evropske unije v skladu s členom 263 PDEU;</w:t>
      </w:r>
    </w:p>
    <w:p w14:paraId="3BBB8D57" w14:textId="5B0040A7" w:rsidR="00D30E81" w:rsidRPr="004264AF" w:rsidRDefault="00D30E81" w:rsidP="001C2768">
      <w:pPr>
        <w:numPr>
          <w:ilvl w:val="0"/>
          <w:numId w:val="98"/>
        </w:numPr>
        <w:spacing w:before="240" w:line="240" w:lineRule="auto"/>
        <w:ind w:left="851" w:hanging="567"/>
        <w:jc w:val="both"/>
        <w:rPr>
          <w:szCs w:val="24"/>
        </w:rPr>
      </w:pPr>
      <w:r>
        <w:t>z unovčenjem finančnega jamstva, kadar je tako določeno v skladu s členom I.</w:t>
      </w:r>
      <w:r w:rsidR="00AE6D9E">
        <w:t>4</w:t>
      </w:r>
      <w:r>
        <w:t>.2 (v nadaljnjem besedilu: unovčenje finančnega jamstva);</w:t>
      </w:r>
    </w:p>
    <w:p w14:paraId="3BBB8D58" w14:textId="77777777" w:rsidR="00D30E81" w:rsidRPr="004264AF" w:rsidRDefault="00D30E81" w:rsidP="001C2768">
      <w:pPr>
        <w:numPr>
          <w:ilvl w:val="0"/>
          <w:numId w:val="98"/>
        </w:numPr>
        <w:spacing w:before="240" w:line="240" w:lineRule="auto"/>
        <w:ind w:left="851" w:hanging="567"/>
        <w:jc w:val="both"/>
        <w:rPr>
          <w:szCs w:val="24"/>
        </w:rPr>
      </w:pPr>
      <w:r>
        <w:t>s sprožitvijo sodnega postopka, kot je določeno v členu II.18.2 ali posebnih pogojih, ali s sprejetjem izvršljivega sklepa, kot je določeno v členu II.18.3.</w:t>
      </w:r>
    </w:p>
    <w:p w14:paraId="3BBB8D59" w14:textId="77777777" w:rsidR="00D30E81" w:rsidRPr="00D06D68" w:rsidRDefault="00D30E81" w:rsidP="00797757">
      <w:pPr>
        <w:pStyle w:val="Heading3"/>
        <w:spacing w:before="100" w:beforeAutospacing="1" w:after="100" w:afterAutospacing="1"/>
      </w:pPr>
      <w:bookmarkStart w:id="180" w:name="_Toc441250881"/>
      <w:bookmarkStart w:id="181" w:name="_Toc1637218"/>
      <w:bookmarkStart w:id="182" w:name="_Toc30752005"/>
      <w:r>
        <w:t>II.26.3</w:t>
      </w:r>
      <w:r>
        <w:tab/>
        <w:t>Zamudne obresti</w:t>
      </w:r>
      <w:bookmarkEnd w:id="180"/>
      <w:bookmarkEnd w:id="181"/>
      <w:bookmarkEnd w:id="182"/>
    </w:p>
    <w:p w14:paraId="3BBB8D5A" w14:textId="7DDEFB7E" w:rsidR="00D30E81" w:rsidRPr="004264AF" w:rsidRDefault="00D30E81" w:rsidP="00797757">
      <w:pPr>
        <w:spacing w:before="100" w:beforeAutospacing="1" w:after="100" w:afterAutospacing="1" w:line="240" w:lineRule="auto"/>
        <w:jc w:val="both"/>
        <w:rPr>
          <w:szCs w:val="24"/>
        </w:rPr>
      </w:pPr>
      <w:r>
        <w:t>Če plačilo ni izvedeno do datuma iz opomina, se bo znesek za izterjavo povečal za zamudne obresti po obrestni meri, določeni v členu I.</w:t>
      </w:r>
      <w:r w:rsidR="00AE6D9E">
        <w:t>4</w:t>
      </w:r>
      <w:r>
        <w:t>.</w:t>
      </w:r>
      <w:r w:rsidR="00AE6D9E">
        <w:t>13</w:t>
      </w:r>
      <w:r>
        <w:t>, za obdobje od dne po roku za plačilo iz opomina do vključno dne, ko Komisija prejme celotno plačilo zneska.</w:t>
      </w:r>
    </w:p>
    <w:p w14:paraId="3BBB8D5B" w14:textId="77777777" w:rsidR="00D30E81" w:rsidRPr="004264AF" w:rsidRDefault="00D30E81" w:rsidP="00797757">
      <w:pPr>
        <w:spacing w:before="100" w:beforeAutospacing="1" w:after="100" w:afterAutospacing="1" w:line="240" w:lineRule="auto"/>
        <w:jc w:val="both"/>
        <w:rPr>
          <w:szCs w:val="24"/>
        </w:rPr>
      </w:pPr>
      <w:r>
        <w:t>Delna plačila morajo najprej kriti plačilo stroškov in zamudnih obresti, nato pa glavnico dolga.</w:t>
      </w:r>
    </w:p>
    <w:p w14:paraId="3BBB8D5C" w14:textId="77777777" w:rsidR="00D30E81" w:rsidRPr="00D06D68" w:rsidRDefault="00D30E81" w:rsidP="00797757">
      <w:pPr>
        <w:pStyle w:val="Heading3"/>
        <w:spacing w:before="100" w:beforeAutospacing="1" w:after="100" w:afterAutospacing="1"/>
      </w:pPr>
      <w:bookmarkStart w:id="183" w:name="_Toc441250882"/>
      <w:bookmarkStart w:id="184" w:name="_Toc1637219"/>
      <w:bookmarkStart w:id="185" w:name="_Toc30752006"/>
      <w:r>
        <w:t>II.26.4</w:t>
      </w:r>
      <w:r>
        <w:tab/>
        <w:t>Bančni stroški</w:t>
      </w:r>
      <w:bookmarkEnd w:id="183"/>
      <w:bookmarkEnd w:id="184"/>
      <w:bookmarkEnd w:id="185"/>
    </w:p>
    <w:p w14:paraId="3BBB8D5D" w14:textId="77777777" w:rsidR="00D30E81" w:rsidRPr="004264AF" w:rsidRDefault="00D30E81" w:rsidP="00797757">
      <w:pPr>
        <w:spacing w:before="100" w:beforeAutospacing="1" w:after="100" w:afterAutospacing="1" w:line="240" w:lineRule="auto"/>
        <w:jc w:val="both"/>
        <w:rPr>
          <w:szCs w:val="24"/>
        </w:rPr>
      </w:pPr>
      <w:r>
        <w:t>Bančne stroške, ki nastanejo pri postopku izterjave, mora nositi upravičenec, razen kadar se uporablja Direktiva 2007/64/ES</w:t>
      </w:r>
      <w:r>
        <w:rPr>
          <w:rStyle w:val="FootnoteReference"/>
        </w:rPr>
        <w:footnoteReference w:id="4"/>
      </w:r>
      <w:r>
        <w:t>.</w:t>
      </w:r>
    </w:p>
    <w:p w14:paraId="3BBB8D5E" w14:textId="7A9D6641" w:rsidR="00D30E81" w:rsidRPr="001A04C2" w:rsidRDefault="0093695C" w:rsidP="00797757">
      <w:pPr>
        <w:pStyle w:val="Heading2"/>
        <w:spacing w:before="100" w:beforeAutospacing="1" w:after="100" w:afterAutospacing="1"/>
      </w:pPr>
      <w:bookmarkStart w:id="186" w:name="_Toc441250883"/>
      <w:bookmarkStart w:id="187" w:name="_Toc1637220"/>
      <w:bookmarkStart w:id="188" w:name="_Toc30752007"/>
      <w:r>
        <w:t>ČLEN II.27 – PREVERJANJA, REVIZIJE IN OCENJEVANJA</w:t>
      </w:r>
      <w:bookmarkEnd w:id="186"/>
      <w:bookmarkEnd w:id="187"/>
      <w:bookmarkEnd w:id="188"/>
    </w:p>
    <w:p w14:paraId="3BBB8D5F" w14:textId="77777777" w:rsidR="00D30E81" w:rsidRPr="00D06D68" w:rsidRDefault="00D30E81" w:rsidP="00797757">
      <w:pPr>
        <w:pStyle w:val="Heading3"/>
        <w:spacing w:before="100" w:beforeAutospacing="1" w:after="100" w:afterAutospacing="1"/>
      </w:pPr>
      <w:bookmarkStart w:id="189" w:name="_Toc441250884"/>
      <w:bookmarkStart w:id="190" w:name="_Toc1637221"/>
      <w:bookmarkStart w:id="191" w:name="_Toc30752008"/>
      <w:r>
        <w:t>II.27.1</w:t>
      </w:r>
      <w:r>
        <w:tab/>
        <w:t>Tehnična in finančna preverjanja, revizije, vmesne in končne ocene</w:t>
      </w:r>
      <w:bookmarkEnd w:id="189"/>
      <w:bookmarkEnd w:id="190"/>
      <w:bookmarkEnd w:id="191"/>
    </w:p>
    <w:p w14:paraId="3BBB8D60" w14:textId="77777777" w:rsidR="00D30E81" w:rsidRPr="004264AF" w:rsidRDefault="00D30E81" w:rsidP="00797757">
      <w:pPr>
        <w:spacing w:before="100" w:beforeAutospacing="1" w:after="100" w:afterAutospacing="1" w:line="240" w:lineRule="auto"/>
        <w:jc w:val="both"/>
        <w:rPr>
          <w:szCs w:val="24"/>
        </w:rPr>
      </w:pPr>
      <w:r>
        <w:t xml:space="preserve">Komisija lahko med izvajanjem </w:t>
      </w:r>
      <w:r>
        <w:rPr>
          <w:i/>
        </w:rPr>
        <w:t>ukrepa</w:t>
      </w:r>
      <w:r>
        <w:t xml:space="preserve"> ali pozneje izvede tehnična in finančna preverjanja in revizije, s katerimi določi, ali upravičenec pravilno izvaja </w:t>
      </w:r>
      <w:r>
        <w:rPr>
          <w:i/>
        </w:rPr>
        <w:t>ukrep</w:t>
      </w:r>
      <w:r>
        <w:t xml:space="preserve"> in izpolnjuje obveznosti iz sporazuma. Preveri lahko tudi zakonsko predpisane evidence upravičenca za namene rednega ocenjevanja pavšalnih zneskov, stroškov na enoto ali zneskov na podlagi pavšalne stopnje.</w:t>
      </w:r>
    </w:p>
    <w:p w14:paraId="3BBB8D61" w14:textId="77777777" w:rsidR="00D30E81" w:rsidRPr="004264AF" w:rsidRDefault="00D30E81" w:rsidP="00797757">
      <w:pPr>
        <w:spacing w:before="100" w:beforeAutospacing="1" w:after="100" w:afterAutospacing="1" w:line="240" w:lineRule="auto"/>
        <w:jc w:val="both"/>
        <w:rPr>
          <w:szCs w:val="24"/>
        </w:rPr>
      </w:pPr>
      <w:r>
        <w:t>Informacije in dokumente, ki se predložijo kot del preverjanj ali revizij, je treba obravnavati kot zaupne.</w:t>
      </w:r>
    </w:p>
    <w:p w14:paraId="3BBB8D62" w14:textId="77777777" w:rsidR="00D30E81" w:rsidRPr="004264AF" w:rsidRDefault="00D30E81" w:rsidP="00797757">
      <w:pPr>
        <w:spacing w:before="100" w:beforeAutospacing="1" w:after="100" w:afterAutospacing="1" w:line="240" w:lineRule="auto"/>
        <w:jc w:val="both"/>
        <w:rPr>
          <w:szCs w:val="24"/>
        </w:rPr>
      </w:pPr>
      <w:r>
        <w:t xml:space="preserve">Poleg tega lahko Komisija izvede vmesno ali končno oceno učinka </w:t>
      </w:r>
      <w:r>
        <w:rPr>
          <w:i/>
        </w:rPr>
        <w:t>ukrepa</w:t>
      </w:r>
      <w:r>
        <w:t xml:space="preserve"> glede na cilj zadevnega programa Unije.</w:t>
      </w:r>
    </w:p>
    <w:p w14:paraId="3BBB8D63" w14:textId="77777777" w:rsidR="00D30E81" w:rsidRPr="004264AF" w:rsidRDefault="00D30E81" w:rsidP="00797757">
      <w:pPr>
        <w:spacing w:before="100" w:beforeAutospacing="1" w:after="100" w:afterAutospacing="1" w:line="240" w:lineRule="auto"/>
        <w:jc w:val="both"/>
        <w:rPr>
          <w:szCs w:val="24"/>
        </w:rPr>
      </w:pPr>
      <w:r>
        <w:t>Preverjanja, revizije ali ocene Komisije lahko izvedejo neposredno njeni zaposleni ali kateri koli drug zunanji organ, ki ga Komisija pooblasti, da to izvede v njenem imenu.</w:t>
      </w:r>
    </w:p>
    <w:p w14:paraId="3BBB8D64" w14:textId="77777777" w:rsidR="00D30E81" w:rsidRPr="004264AF" w:rsidRDefault="00D30E81" w:rsidP="00797757">
      <w:pPr>
        <w:spacing w:before="100" w:beforeAutospacing="1" w:after="100" w:afterAutospacing="1" w:line="240" w:lineRule="auto"/>
        <w:jc w:val="both"/>
        <w:rPr>
          <w:szCs w:val="24"/>
        </w:rPr>
      </w:pPr>
      <w:r>
        <w:t xml:space="preserve">Komisija lahko začne taka preverjanja, revizije ali ocene med izvajanjem sporazuma in v obdobju petih let od datuma plačila razlike. To obdobje je omejeno na tri leta, če </w:t>
      </w:r>
      <w:r>
        <w:rPr>
          <w:i/>
        </w:rPr>
        <w:t>najvišji znesek nepovratnih sredstev</w:t>
      </w:r>
      <w:r>
        <w:t xml:space="preserve"> ne presega 60 000 EUR.</w:t>
      </w:r>
    </w:p>
    <w:p w14:paraId="3BBB8D65" w14:textId="77777777" w:rsidR="00D30E81" w:rsidRPr="004264AF" w:rsidRDefault="00D30E81" w:rsidP="00797757">
      <w:pPr>
        <w:spacing w:before="100" w:beforeAutospacing="1" w:after="100" w:afterAutospacing="1" w:line="240" w:lineRule="auto"/>
        <w:jc w:val="both"/>
        <w:rPr>
          <w:szCs w:val="24"/>
        </w:rPr>
      </w:pPr>
      <w:r>
        <w:t xml:space="preserve">Za postopek preverjanja, revizije ali ocenjevanja se šteje, da se začne na dan prejema dopisa Komisije, ki tak postopek napoveduje. </w:t>
      </w:r>
    </w:p>
    <w:p w14:paraId="3BBB8D66" w14:textId="77777777" w:rsidR="00D30E81" w:rsidRDefault="00D30E81" w:rsidP="00797757">
      <w:pPr>
        <w:spacing w:before="100" w:beforeAutospacing="1" w:after="100" w:afterAutospacing="1" w:line="240" w:lineRule="auto"/>
        <w:jc w:val="both"/>
        <w:rPr>
          <w:szCs w:val="24"/>
        </w:rPr>
      </w:pPr>
      <w:r>
        <w:t>Če se revizija izvaja za povezani subjekt, mora upravičenec obvestiti navedeni povezani subjekt.</w:t>
      </w:r>
    </w:p>
    <w:p w14:paraId="3BBB8D68" w14:textId="77777777" w:rsidR="00D30E81" w:rsidRPr="00D06D68" w:rsidRDefault="00D30E81" w:rsidP="00797757">
      <w:pPr>
        <w:pStyle w:val="Heading3"/>
        <w:spacing w:before="100" w:beforeAutospacing="1" w:after="100" w:afterAutospacing="1"/>
      </w:pPr>
      <w:bookmarkStart w:id="192" w:name="_Toc441250885"/>
      <w:bookmarkStart w:id="193" w:name="_Toc1637222"/>
      <w:bookmarkStart w:id="194" w:name="_Toc30752009"/>
      <w:r>
        <w:t>II.27.2 Dolžnost hrambe dokumentov</w:t>
      </w:r>
      <w:bookmarkEnd w:id="192"/>
      <w:bookmarkEnd w:id="193"/>
      <w:bookmarkEnd w:id="194"/>
    </w:p>
    <w:p w14:paraId="3BBB8D69" w14:textId="77777777" w:rsidR="00D30E81" w:rsidRPr="004264AF" w:rsidRDefault="00D30E81" w:rsidP="00797757">
      <w:pPr>
        <w:spacing w:before="100" w:beforeAutospacing="1" w:after="100" w:afterAutospacing="1" w:line="240" w:lineRule="auto"/>
        <w:jc w:val="both"/>
        <w:rPr>
          <w:szCs w:val="24"/>
        </w:rPr>
      </w:pPr>
      <w:r>
        <w:t xml:space="preserve">Upravičenec mora hraniti vse izvirnike dokumentov, zlasti računovodske in davčne evidence, na kakršnem koli primernem mediju, vključno z digitaliziranimi izvirniki, kadar so ti dovoljeni z zadevnim nacionalnim pravom in pod pogoji, ki jih ta določa, in sicer pet let od datuma plačila razlike. </w:t>
      </w:r>
    </w:p>
    <w:p w14:paraId="3BBB8D6A" w14:textId="77777777" w:rsidR="00D30E81" w:rsidRPr="004264AF" w:rsidRDefault="00D30E81" w:rsidP="00797757">
      <w:pPr>
        <w:spacing w:before="100" w:beforeAutospacing="1" w:after="100" w:afterAutospacing="1" w:line="240" w:lineRule="auto"/>
        <w:jc w:val="both"/>
        <w:rPr>
          <w:szCs w:val="24"/>
        </w:rPr>
      </w:pPr>
      <w:r>
        <w:t xml:space="preserve">Obdobje, v katerem je treba hraniti dokumente, je omejeno na tri leta, če </w:t>
      </w:r>
      <w:r>
        <w:rPr>
          <w:i/>
        </w:rPr>
        <w:t>najvišji znesek nepovratnih sredstev</w:t>
      </w:r>
      <w:r>
        <w:t xml:space="preserve"> ne presega 60 000 EUR.</w:t>
      </w:r>
    </w:p>
    <w:p w14:paraId="3BBB8D6B" w14:textId="77777777" w:rsidR="00D30E81" w:rsidRPr="004264AF" w:rsidRDefault="00D30E81" w:rsidP="00797757">
      <w:pPr>
        <w:spacing w:before="100" w:beforeAutospacing="1" w:after="100" w:afterAutospacing="1" w:line="240" w:lineRule="auto"/>
        <w:jc w:val="both"/>
        <w:rPr>
          <w:szCs w:val="24"/>
        </w:rPr>
      </w:pPr>
      <w:r>
        <w:t>Obdobji iz prvega in drugega pododstavka sta daljši, če potekajo revizije, prizivi, pravni spori ali izterjava zahtevkov v zvezi z nepovratnimi sredstvi, vključno v primerih iz člena II.27.7. V takih primerih mora upravičenec hraniti dokumente, dokler take revizije, prizivi, pravni spori ali izterjave zahtevkov niso zaključene.</w:t>
      </w:r>
    </w:p>
    <w:p w14:paraId="3BBB8D6C" w14:textId="77777777" w:rsidR="00D30E81" w:rsidRPr="00D06D68" w:rsidRDefault="00D30E81" w:rsidP="00797757">
      <w:pPr>
        <w:pStyle w:val="Heading3"/>
        <w:spacing w:before="100" w:beforeAutospacing="1" w:after="100" w:afterAutospacing="1"/>
      </w:pPr>
      <w:bookmarkStart w:id="195" w:name="_Toc441250886"/>
      <w:bookmarkStart w:id="196" w:name="_Toc1637223"/>
      <w:bookmarkStart w:id="197" w:name="_Toc30752010"/>
      <w:r>
        <w:t>II.27.3 Obveznost zagotavljanja informacij</w:t>
      </w:r>
      <w:bookmarkEnd w:id="195"/>
      <w:bookmarkEnd w:id="196"/>
      <w:bookmarkEnd w:id="197"/>
    </w:p>
    <w:p w14:paraId="3BBB8D6D" w14:textId="77777777" w:rsidR="00D30E81" w:rsidRPr="004264AF" w:rsidRDefault="002A60D1" w:rsidP="00797757">
      <w:pPr>
        <w:spacing w:before="100" w:beforeAutospacing="1" w:after="100" w:afterAutospacing="1" w:line="240" w:lineRule="auto"/>
        <w:jc w:val="both"/>
        <w:rPr>
          <w:szCs w:val="24"/>
        </w:rPr>
      </w:pPr>
      <w:r>
        <w:t xml:space="preserve">Upravičenec mora zagotoviti vse informacije, vključno z informacijami v elektronski obliki, ki jih zahteva Komisija ali kateri koli drug zunanji organ, ki ga pooblasti Komisija. </w:t>
      </w:r>
    </w:p>
    <w:p w14:paraId="3BBB8D6E" w14:textId="77777777" w:rsidR="00D30E81" w:rsidRPr="004264AF" w:rsidRDefault="00D30E81" w:rsidP="001C2768">
      <w:pPr>
        <w:spacing w:before="100" w:beforeAutospacing="1" w:after="0" w:line="240" w:lineRule="auto"/>
        <w:jc w:val="both"/>
        <w:rPr>
          <w:szCs w:val="24"/>
        </w:rPr>
      </w:pPr>
      <w:r>
        <w:t>Če upravičenec ne izpolni obveznosti iz prvega pododstavka, Komisija lahko šteje:</w:t>
      </w:r>
    </w:p>
    <w:p w14:paraId="3BBB8D6F" w14:textId="77777777" w:rsidR="00D30E81" w:rsidRPr="004264AF" w:rsidRDefault="00D30E81" w:rsidP="001C2768">
      <w:pPr>
        <w:numPr>
          <w:ilvl w:val="0"/>
          <w:numId w:val="75"/>
        </w:numPr>
        <w:spacing w:after="100" w:afterAutospacing="1" w:line="240" w:lineRule="auto"/>
        <w:ind w:left="851" w:hanging="567"/>
        <w:jc w:val="both"/>
        <w:rPr>
          <w:szCs w:val="24"/>
        </w:rPr>
      </w:pPr>
      <w:r>
        <w:t>da so neupravičeni vsi stroški, ki jih upravičenec ne utemelji s predložitvijo ustreznih informacij;</w:t>
      </w:r>
    </w:p>
    <w:p w14:paraId="3BBB8D70" w14:textId="7B7630AE" w:rsidR="00D30E81" w:rsidRPr="004264AF" w:rsidRDefault="00D30E81" w:rsidP="00CC5258">
      <w:pPr>
        <w:numPr>
          <w:ilvl w:val="0"/>
          <w:numId w:val="75"/>
        </w:numPr>
        <w:spacing w:before="100" w:beforeAutospacing="1" w:after="100" w:afterAutospacing="1" w:line="240" w:lineRule="auto"/>
        <w:ind w:left="851" w:hanging="567"/>
        <w:jc w:val="both"/>
        <w:rPr>
          <w:szCs w:val="24"/>
        </w:rPr>
      </w:pPr>
      <w:r>
        <w:t>da ni dolžna izplačati financiranja, ki ni povezano s stroški, prispevkov na enoto, v pavšalnem znesku ali po pavšalni stopnji, ki jih upravičenec ne utemelji s predložitvijo ustreznih informacij.</w:t>
      </w:r>
    </w:p>
    <w:p w14:paraId="3BBB8D71" w14:textId="206FBF11" w:rsidR="00D30E81" w:rsidRPr="00D06D68" w:rsidRDefault="00D30E81" w:rsidP="00797757">
      <w:pPr>
        <w:pStyle w:val="Heading3"/>
        <w:spacing w:before="100" w:beforeAutospacing="1" w:after="100" w:afterAutospacing="1"/>
      </w:pPr>
      <w:bookmarkStart w:id="198" w:name="_Toc441250887"/>
      <w:bookmarkStart w:id="199" w:name="_Toc1637224"/>
      <w:bookmarkStart w:id="200" w:name="_Toc30752011"/>
      <w:r>
        <w:t>II.27.4 Obiski na kraju samem</w:t>
      </w:r>
      <w:bookmarkEnd w:id="198"/>
      <w:bookmarkEnd w:id="199"/>
      <w:bookmarkEnd w:id="200"/>
    </w:p>
    <w:p w14:paraId="3BBB8D72" w14:textId="77777777" w:rsidR="00D30E81" w:rsidRPr="004264AF" w:rsidRDefault="00D30E81" w:rsidP="00797757">
      <w:pPr>
        <w:spacing w:before="100" w:beforeAutospacing="1" w:after="100" w:afterAutospacing="1" w:line="240" w:lineRule="auto"/>
        <w:jc w:val="both"/>
        <w:rPr>
          <w:szCs w:val="24"/>
        </w:rPr>
      </w:pPr>
      <w:r>
        <w:t xml:space="preserve">Med obiski na kraju samem mora upravičenec zaposlenim Komisije in zunanjim zaposlenim, ki jih pooblasti Komisija, omogočiti dostop do lokacij in prostorov, v katerih se </w:t>
      </w:r>
      <w:r>
        <w:rPr>
          <w:i/>
        </w:rPr>
        <w:t>ukrep</w:t>
      </w:r>
      <w:r>
        <w:t xml:space="preserve"> izvaja ali se je izvajal, ter do vseh potrebnih informacij, vključno z informacijami v elektronski obliki.</w:t>
      </w:r>
    </w:p>
    <w:p w14:paraId="3BBB8D73" w14:textId="77777777" w:rsidR="00D30E81" w:rsidRPr="004264AF" w:rsidRDefault="00D30E81" w:rsidP="00797757">
      <w:pPr>
        <w:spacing w:before="100" w:beforeAutospacing="1" w:after="100" w:afterAutospacing="1" w:line="240" w:lineRule="auto"/>
        <w:jc w:val="both"/>
        <w:rPr>
          <w:szCs w:val="24"/>
        </w:rPr>
      </w:pPr>
      <w:r>
        <w:t>Upravičenec mora zagotoviti, da so informacije nemudoma na voljo med obiskom na kraju samem in da se zahtevane informacije predložijo v ustrezni obliki.</w:t>
      </w:r>
    </w:p>
    <w:p w14:paraId="3BBB8D74" w14:textId="77777777" w:rsidR="00D30E81" w:rsidRPr="004264AF" w:rsidRDefault="00D30E81" w:rsidP="001C2768">
      <w:pPr>
        <w:spacing w:before="100" w:beforeAutospacing="1" w:after="0" w:line="240" w:lineRule="auto"/>
        <w:jc w:val="both"/>
        <w:rPr>
          <w:szCs w:val="24"/>
        </w:rPr>
      </w:pPr>
      <w:r>
        <w:t>Če upravičenec ne omogoči dostopa do lokacij, prostorov in informacij, kot se zahteva v prvem in drugem pododstavku, lahko Komisija šteje:</w:t>
      </w:r>
    </w:p>
    <w:p w14:paraId="3BBB8D75" w14:textId="77777777" w:rsidR="00D30E81" w:rsidRPr="004264AF" w:rsidRDefault="00D30E81" w:rsidP="001C2768">
      <w:pPr>
        <w:numPr>
          <w:ilvl w:val="1"/>
          <w:numId w:val="64"/>
        </w:numPr>
        <w:spacing w:after="100" w:afterAutospacing="1" w:line="240" w:lineRule="auto"/>
        <w:ind w:left="851" w:hanging="567"/>
        <w:jc w:val="both"/>
        <w:rPr>
          <w:szCs w:val="24"/>
        </w:rPr>
      </w:pPr>
      <w:r>
        <w:t xml:space="preserve"> da so neupravičeni vsi stroški, ki jih upravičenec ne utemelji s predložitvijo ustreznih informacij;</w:t>
      </w:r>
    </w:p>
    <w:p w14:paraId="3BBB8D76" w14:textId="580A58CF" w:rsidR="00D30E81" w:rsidRDefault="00D30E81" w:rsidP="00CC5258">
      <w:pPr>
        <w:numPr>
          <w:ilvl w:val="1"/>
          <w:numId w:val="64"/>
        </w:numPr>
        <w:spacing w:before="100" w:beforeAutospacing="1" w:after="100" w:afterAutospacing="1" w:line="240" w:lineRule="auto"/>
        <w:ind w:left="851" w:hanging="567"/>
        <w:jc w:val="both"/>
        <w:rPr>
          <w:szCs w:val="24"/>
        </w:rPr>
      </w:pPr>
      <w:r>
        <w:t xml:space="preserve"> da ni dolžna izplačati financiranja, ki ni povezano s stroški, prispevkov na enoto, v pavšalnem znesku ali po pavšalni stopnji, ki jih upravičenec ne utemelji s predložitvijo ustreznih informacij.</w:t>
      </w:r>
    </w:p>
    <w:p w14:paraId="3BBB8D77" w14:textId="7A01AEDD" w:rsidR="00D30E81" w:rsidRPr="00D06D68" w:rsidRDefault="00D30E81" w:rsidP="00797757">
      <w:pPr>
        <w:pStyle w:val="Heading3"/>
        <w:spacing w:before="100" w:beforeAutospacing="1" w:after="100" w:afterAutospacing="1"/>
      </w:pPr>
      <w:bookmarkStart w:id="201" w:name="_Toc441250888"/>
      <w:bookmarkStart w:id="202" w:name="_Toc1637225"/>
      <w:bookmarkStart w:id="203" w:name="_Toc30752012"/>
      <w:r>
        <w:t>II.27.5 Kontradiktorni revizijski postopek</w:t>
      </w:r>
      <w:bookmarkEnd w:id="201"/>
      <w:bookmarkEnd w:id="202"/>
      <w:bookmarkEnd w:id="203"/>
    </w:p>
    <w:p w14:paraId="3BBB8D78" w14:textId="77777777" w:rsidR="00D30E81" w:rsidRPr="004264AF" w:rsidRDefault="00D30E81" w:rsidP="00797757">
      <w:pPr>
        <w:spacing w:before="100" w:beforeAutospacing="1" w:after="100" w:afterAutospacing="1" w:line="240" w:lineRule="auto"/>
        <w:jc w:val="both"/>
        <w:rPr>
          <w:szCs w:val="24"/>
        </w:rPr>
      </w:pPr>
      <w:r>
        <w:t>Na podlagi ugotovitev med revizijo je treba pripraviti začasno poročilo (v nadaljnjem besedilu: osnutek revizijskega poročila). Komisija ali njen pooblaščeni predstavnik ga mora poslati upravičencu, ki mora imeti od datuma prejema na voljo 30 koledarskih dni za predložitev pripomb. Končno poročilo (v nadaljnjem besedilu: končno revizijsko poročilo) je treba poslati upravičencu v 60 koledarskih dneh po izteku roka za predložitev pripomb.</w:t>
      </w:r>
    </w:p>
    <w:p w14:paraId="3BBB8D79" w14:textId="77777777" w:rsidR="00D30E81" w:rsidRPr="00D06D68" w:rsidRDefault="00D30E81" w:rsidP="00797757">
      <w:pPr>
        <w:pStyle w:val="Heading3"/>
        <w:spacing w:before="100" w:beforeAutospacing="1" w:after="100" w:afterAutospacing="1"/>
      </w:pPr>
      <w:bookmarkStart w:id="204" w:name="_Toc441250889"/>
      <w:bookmarkStart w:id="205" w:name="_Toc1637226"/>
      <w:bookmarkStart w:id="206" w:name="_Toc30752013"/>
      <w:r>
        <w:t>II.27.6 Posledice ugotovitev revizije</w:t>
      </w:r>
      <w:bookmarkEnd w:id="204"/>
      <w:bookmarkEnd w:id="205"/>
      <w:bookmarkEnd w:id="206"/>
    </w:p>
    <w:p w14:paraId="3BBB8D7A" w14:textId="77777777" w:rsidR="00D30E81" w:rsidRPr="004264AF" w:rsidRDefault="00D30E81" w:rsidP="00797757">
      <w:pPr>
        <w:spacing w:before="100" w:beforeAutospacing="1" w:after="100" w:afterAutospacing="1" w:line="240" w:lineRule="auto"/>
        <w:jc w:val="both"/>
        <w:rPr>
          <w:szCs w:val="24"/>
        </w:rPr>
      </w:pPr>
      <w:r>
        <w:t>Na podlagi ugotovitev končne revizije lahko Komisija sprejme ukrepe, za katere meni, da so potrebni, vključno z izterjavo vseh ali dela plačil, ki jih je izvedla, kakor je določeno v členu II.26.</w:t>
      </w:r>
    </w:p>
    <w:p w14:paraId="3BBB8D7B" w14:textId="77777777" w:rsidR="00D30E81" w:rsidRPr="004264AF" w:rsidRDefault="00D30E81" w:rsidP="00797757">
      <w:pPr>
        <w:spacing w:before="100" w:beforeAutospacing="1" w:after="100" w:afterAutospacing="1" w:line="240" w:lineRule="auto"/>
        <w:jc w:val="both"/>
        <w:rPr>
          <w:szCs w:val="24"/>
        </w:rPr>
      </w:pPr>
      <w:r>
        <w:t xml:space="preserve">V primeru ugotovitev končne revizije, ki se izvede po plačilu razlike, znesek, ki ga je treba izterjati, ustreza razliki med popravljenim končnim zneskom nepovratnih sredstev, ki je določen v skladu s členom II.25, in skupnim zneskom, izplačanim upravičencu na podlagi sporazuma za izvedbo </w:t>
      </w:r>
      <w:r>
        <w:rPr>
          <w:i/>
        </w:rPr>
        <w:t>ukrepa</w:t>
      </w:r>
      <w:r>
        <w:t>.</w:t>
      </w:r>
    </w:p>
    <w:p w14:paraId="3BBB8D7C" w14:textId="77777777" w:rsidR="00D30E81" w:rsidRPr="00D06D68" w:rsidRDefault="00D30E81" w:rsidP="00797757">
      <w:pPr>
        <w:pStyle w:val="Heading3"/>
        <w:spacing w:before="100" w:beforeAutospacing="1" w:after="100" w:afterAutospacing="1"/>
      </w:pPr>
      <w:bookmarkStart w:id="207" w:name="_Toc441250890"/>
      <w:bookmarkStart w:id="208" w:name="_Toc1637227"/>
      <w:bookmarkStart w:id="209" w:name="_Toc30752014"/>
      <w:r>
        <w:t>II.27.7 Popravek sistemskih ali ponavljajočih se napak, nepravilnosti, goljufij ali kršitev obveznosti</w:t>
      </w:r>
      <w:bookmarkEnd w:id="207"/>
      <w:bookmarkEnd w:id="208"/>
      <w:bookmarkEnd w:id="209"/>
      <w:r>
        <w:t xml:space="preserve">  </w:t>
      </w:r>
    </w:p>
    <w:p w14:paraId="3BBB8D7D" w14:textId="2D9E3D43" w:rsidR="00D30E81" w:rsidRPr="004264AF" w:rsidRDefault="00D30E81" w:rsidP="001C2768">
      <w:pPr>
        <w:spacing w:before="100" w:beforeAutospacing="1" w:after="0" w:line="240" w:lineRule="auto"/>
        <w:jc w:val="both"/>
        <w:rPr>
          <w:szCs w:val="24"/>
        </w:rPr>
      </w:pPr>
      <w:r>
        <w:rPr>
          <w:b/>
        </w:rPr>
        <w:t>II.27.7.1</w:t>
      </w:r>
      <w:r>
        <w:t xml:space="preserve"> Komisija lahko ugotovitve revizije v zvezi z drugimi nepovratnimi sredstvi razširi na ta nepovratna sredstva, če:</w:t>
      </w:r>
    </w:p>
    <w:p w14:paraId="3BBB8D7E" w14:textId="7C86D1C8" w:rsidR="00D30E81" w:rsidRPr="004264AF" w:rsidRDefault="00D30E81" w:rsidP="001C2768">
      <w:pPr>
        <w:numPr>
          <w:ilvl w:val="0"/>
          <w:numId w:val="99"/>
        </w:numPr>
        <w:spacing w:after="100" w:afterAutospacing="1" w:line="240" w:lineRule="auto"/>
        <w:ind w:left="1560" w:hanging="567"/>
        <w:jc w:val="both"/>
        <w:rPr>
          <w:szCs w:val="24"/>
        </w:rPr>
      </w:pPr>
      <w:r>
        <w:t xml:space="preserve">je bilo ugotovljeno, da je upravičenec storil sistemske ali ponavljajoče se </w:t>
      </w:r>
      <w:r>
        <w:rPr>
          <w:i/>
        </w:rPr>
        <w:t>nepravilnosti, goljufije</w:t>
      </w:r>
      <w:r>
        <w:t xml:space="preserve"> ali </w:t>
      </w:r>
      <w:r>
        <w:rPr>
          <w:i/>
        </w:rPr>
        <w:t>kršitve obveznosti</w:t>
      </w:r>
      <w:r>
        <w:t xml:space="preserve"> v zvezi z drugimi nepovratnimi sredstvi Unije ali Euratoma, ki so mu bila dodeljena pod podobnimi pogoji, in če take </w:t>
      </w:r>
      <w:r>
        <w:rPr>
          <w:i/>
        </w:rPr>
        <w:t>nepravilnosti, goljufije</w:t>
      </w:r>
      <w:r>
        <w:t xml:space="preserve"> ali </w:t>
      </w:r>
      <w:r>
        <w:rPr>
          <w:i/>
        </w:rPr>
        <w:t>kršitve obveznosti</w:t>
      </w:r>
      <w:r>
        <w:t xml:space="preserve"> znatno vplivajo na ta nepovratna sredstva; in</w:t>
      </w:r>
    </w:p>
    <w:p w14:paraId="3BBB8D7F" w14:textId="77777777" w:rsidR="00D30E81" w:rsidRPr="004264AF" w:rsidRDefault="00D30E81" w:rsidP="00273B1B">
      <w:pPr>
        <w:numPr>
          <w:ilvl w:val="0"/>
          <w:numId w:val="99"/>
        </w:numPr>
        <w:spacing w:before="100" w:beforeAutospacing="1" w:after="100" w:afterAutospacing="1" w:line="240" w:lineRule="auto"/>
        <w:ind w:left="1560" w:hanging="567"/>
        <w:jc w:val="both"/>
        <w:rPr>
          <w:szCs w:val="24"/>
        </w:rPr>
      </w:pPr>
      <w:r>
        <w:t xml:space="preserve">se ugotovitve končne revizije upravičencu pošljejo prek </w:t>
      </w:r>
      <w:r>
        <w:rPr>
          <w:i/>
        </w:rPr>
        <w:t>uradnega obvestila</w:t>
      </w:r>
      <w:r>
        <w:t>, skupaj s seznamom nepovratnih sredstev, na katera te ugotovitve vplivajo, v obdobju iz člena II.27.1.</w:t>
      </w:r>
    </w:p>
    <w:p w14:paraId="3BBB8D80" w14:textId="77777777" w:rsidR="00D30E81" w:rsidRPr="004264AF" w:rsidRDefault="00D30E81" w:rsidP="001C2768">
      <w:pPr>
        <w:spacing w:before="100" w:beforeAutospacing="1" w:after="0" w:line="240" w:lineRule="auto"/>
        <w:ind w:left="993"/>
        <w:jc w:val="both"/>
        <w:rPr>
          <w:szCs w:val="24"/>
        </w:rPr>
      </w:pPr>
      <w:r>
        <w:t>Razširitev ugotovitev je lahko podlaga za:</w:t>
      </w:r>
    </w:p>
    <w:p w14:paraId="3BBB8D81" w14:textId="77777777" w:rsidR="00D30E81" w:rsidRPr="004264AF" w:rsidRDefault="00D30E81" w:rsidP="001C2768">
      <w:pPr>
        <w:numPr>
          <w:ilvl w:val="0"/>
          <w:numId w:val="100"/>
        </w:numPr>
        <w:spacing w:after="100" w:afterAutospacing="1" w:line="240" w:lineRule="auto"/>
        <w:ind w:left="1560" w:hanging="567"/>
        <w:jc w:val="both"/>
        <w:rPr>
          <w:szCs w:val="24"/>
        </w:rPr>
      </w:pPr>
      <w:r>
        <w:t>zavrnitev stroškov kot neupravičenih;</w:t>
      </w:r>
    </w:p>
    <w:p w14:paraId="3BBB8D82"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t>znižanje nepovratnih sredstev, kot je določeno v členu II.25.4;</w:t>
      </w:r>
    </w:p>
    <w:p w14:paraId="3BBB8D83"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t>izterjavo neupravičenih zneskov, kot je določeno v členu II.26;</w:t>
      </w:r>
    </w:p>
    <w:p w14:paraId="3BBB8D84"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t>začasno ustavitev plačil, kot je določeno v členu II.24.1;</w:t>
      </w:r>
    </w:p>
    <w:p w14:paraId="3BBB8D85"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t xml:space="preserve">zadržanje izvajanja </w:t>
      </w:r>
      <w:r>
        <w:rPr>
          <w:i/>
        </w:rPr>
        <w:t>ukrepa</w:t>
      </w:r>
      <w:r>
        <w:t>, kot je določeno v členu II.16.2;</w:t>
      </w:r>
    </w:p>
    <w:p w14:paraId="3BBB8D87" w14:textId="5B2AD513" w:rsidR="001B3D09" w:rsidRPr="00F52591" w:rsidRDefault="00D30E81" w:rsidP="001C2768">
      <w:pPr>
        <w:numPr>
          <w:ilvl w:val="0"/>
          <w:numId w:val="100"/>
        </w:numPr>
        <w:spacing w:before="100" w:beforeAutospacing="1" w:after="100" w:afterAutospacing="1" w:line="240" w:lineRule="auto"/>
        <w:ind w:left="1560" w:hanging="567"/>
        <w:jc w:val="both"/>
        <w:rPr>
          <w:szCs w:val="24"/>
        </w:rPr>
      </w:pPr>
      <w:r>
        <w:t>odpoved, kot je določeno v členu II.17.2.</w:t>
      </w:r>
    </w:p>
    <w:p w14:paraId="3BBB8D88" w14:textId="63C0AAF8" w:rsidR="00D30E81" w:rsidRPr="004264AF" w:rsidRDefault="00D30E81" w:rsidP="001C2768">
      <w:pPr>
        <w:spacing w:before="100" w:beforeAutospacing="1" w:after="100" w:afterAutospacing="1" w:line="240" w:lineRule="auto"/>
        <w:ind w:left="993" w:hanging="993"/>
        <w:jc w:val="both"/>
        <w:rPr>
          <w:szCs w:val="24"/>
        </w:rPr>
      </w:pPr>
      <w:r>
        <w:rPr>
          <w:b/>
        </w:rPr>
        <w:t xml:space="preserve">II.27.7.2 </w:t>
      </w:r>
      <w:r>
        <w:t xml:space="preserve">Komisija mora upravičencu poslati </w:t>
      </w:r>
      <w:r>
        <w:rPr>
          <w:i/>
        </w:rPr>
        <w:t>uradno obvestilo</w:t>
      </w:r>
      <w:r>
        <w:t xml:space="preserve">, v katerem ga obvešča o sistemskih ali ponavljajočih se nepravilnostih, </w:t>
      </w:r>
      <w:r>
        <w:rPr>
          <w:i/>
        </w:rPr>
        <w:t>goljufijah</w:t>
      </w:r>
      <w:r>
        <w:t xml:space="preserve"> ali </w:t>
      </w:r>
      <w:r>
        <w:rPr>
          <w:i/>
        </w:rPr>
        <w:t>kršitvah obveznosti</w:t>
      </w:r>
      <w:r>
        <w:t xml:space="preserve"> in svoji nameri, da revizijske ugotovitve razširi, skupaj s seznamom nepovratnih sredstev, na katera te ugotovitve vplivajo.</w:t>
      </w:r>
    </w:p>
    <w:p w14:paraId="3BBB8D89" w14:textId="77777777" w:rsidR="00D30E81" w:rsidRPr="004264AF" w:rsidRDefault="00D30E81" w:rsidP="00273B1B">
      <w:pPr>
        <w:numPr>
          <w:ilvl w:val="0"/>
          <w:numId w:val="101"/>
        </w:numPr>
        <w:spacing w:before="100" w:beforeAutospacing="1" w:after="100" w:afterAutospacing="1" w:line="240" w:lineRule="auto"/>
        <w:ind w:left="1560" w:hanging="567"/>
        <w:jc w:val="both"/>
        <w:rPr>
          <w:szCs w:val="24"/>
        </w:rPr>
      </w:pPr>
      <w:r>
        <w:t>Če se</w:t>
      </w:r>
      <w:r>
        <w:rPr>
          <w:b/>
        </w:rPr>
        <w:t xml:space="preserve"> </w:t>
      </w:r>
      <w:r>
        <w:t>ugotovitve nanašajo na upravičenost stroškov, je postopek naslednji:</w:t>
      </w:r>
    </w:p>
    <w:p w14:paraId="3BBB8D8A" w14:textId="77777777" w:rsidR="00D30E81" w:rsidRPr="004264AF" w:rsidRDefault="00D30E81" w:rsidP="001C2768">
      <w:pPr>
        <w:spacing w:before="100" w:beforeAutospacing="1" w:after="0" w:line="240" w:lineRule="auto"/>
        <w:ind w:left="1560"/>
        <w:jc w:val="both"/>
        <w:rPr>
          <w:szCs w:val="24"/>
        </w:rPr>
      </w:pPr>
      <w:r>
        <w:rPr>
          <w:b/>
        </w:rPr>
        <w:t>1. korak</w:t>
      </w:r>
      <w:r>
        <w:t xml:space="preserve"> – </w:t>
      </w:r>
      <w:r>
        <w:rPr>
          <w:i/>
        </w:rPr>
        <w:t>Uradno obvestilo</w:t>
      </w:r>
      <w:r>
        <w:t xml:space="preserve"> mora vključevati:</w:t>
      </w:r>
    </w:p>
    <w:p w14:paraId="3BBB8D8B" w14:textId="77777777" w:rsidR="00D30E81" w:rsidRPr="004264AF" w:rsidRDefault="00D30E81" w:rsidP="001C2768">
      <w:pPr>
        <w:numPr>
          <w:ilvl w:val="0"/>
          <w:numId w:val="102"/>
        </w:numPr>
        <w:spacing w:after="100" w:afterAutospacing="1" w:line="240" w:lineRule="auto"/>
        <w:ind w:left="2127" w:hanging="567"/>
        <w:jc w:val="both"/>
        <w:rPr>
          <w:szCs w:val="24"/>
        </w:rPr>
      </w:pPr>
      <w:r>
        <w:t>poziv k predložitvi pripomb o seznamu nepovratnih sredstev, na katera vplivajo ugotovitve;</w:t>
      </w:r>
    </w:p>
    <w:p w14:paraId="3BBB8D8C" w14:textId="77777777" w:rsidR="00D30E81" w:rsidRPr="004264AF" w:rsidRDefault="00D30E81" w:rsidP="00273B1B">
      <w:pPr>
        <w:numPr>
          <w:ilvl w:val="0"/>
          <w:numId w:val="102"/>
        </w:numPr>
        <w:spacing w:before="100" w:beforeAutospacing="1" w:after="100" w:afterAutospacing="1" w:line="240" w:lineRule="auto"/>
        <w:ind w:left="2127" w:hanging="567"/>
        <w:jc w:val="both"/>
        <w:rPr>
          <w:szCs w:val="24"/>
        </w:rPr>
      </w:pPr>
      <w:r>
        <w:t>zahtevek za predložitev popravljenih računovodskih izkazov za vsa takšna nepovratna sredstva;</w:t>
      </w:r>
    </w:p>
    <w:p w14:paraId="3BBB8D8D" w14:textId="77777777" w:rsidR="00D30E81" w:rsidRPr="004264AF" w:rsidRDefault="00D30E81" w:rsidP="001C2768">
      <w:pPr>
        <w:numPr>
          <w:ilvl w:val="0"/>
          <w:numId w:val="102"/>
        </w:numPr>
        <w:spacing w:before="100" w:beforeAutospacing="1" w:after="0" w:line="240" w:lineRule="auto"/>
        <w:ind w:left="2127" w:hanging="567"/>
        <w:jc w:val="both"/>
        <w:rPr>
          <w:szCs w:val="24"/>
        </w:rPr>
      </w:pPr>
      <w:r>
        <w:t xml:space="preserve"> po potrebi korekcijsko stopnjo za ekstrapolacijo, ki jo Komisija določi za izračun zneskov, ki se zavrnejo, na podlagi sistemskih ali ponavljajočih se napak, </w:t>
      </w:r>
      <w:r>
        <w:rPr>
          <w:i/>
        </w:rPr>
        <w:t>nepravilnosti</w:t>
      </w:r>
      <w:r>
        <w:t xml:space="preserve">, </w:t>
      </w:r>
      <w:r>
        <w:rPr>
          <w:i/>
        </w:rPr>
        <w:t>goljufij</w:t>
      </w:r>
      <w:r>
        <w:t xml:space="preserve"> ali kršitev obveznosti, če upravičenec:</w:t>
      </w:r>
    </w:p>
    <w:p w14:paraId="3BBB8D8E" w14:textId="716BD55E" w:rsidR="00D30E81" w:rsidRPr="001C2768" w:rsidRDefault="00D30E81" w:rsidP="001C2768">
      <w:pPr>
        <w:pStyle w:val="ListParagraph"/>
        <w:numPr>
          <w:ilvl w:val="0"/>
          <w:numId w:val="128"/>
        </w:numPr>
        <w:spacing w:after="100" w:afterAutospacing="1" w:line="240" w:lineRule="auto"/>
        <w:ind w:left="2552" w:hanging="284"/>
        <w:jc w:val="both"/>
        <w:rPr>
          <w:szCs w:val="24"/>
        </w:rPr>
      </w:pPr>
      <w:r>
        <w:t>meni, da predložitev popravljenih računovodskih izkazov ni mogoča ali izvedljiva; ali</w:t>
      </w:r>
    </w:p>
    <w:p w14:paraId="3BBB8D8F" w14:textId="50E558DB" w:rsidR="00D30E81" w:rsidRPr="001C2768" w:rsidRDefault="00D30E81" w:rsidP="001C2768">
      <w:pPr>
        <w:pStyle w:val="ListParagraph"/>
        <w:numPr>
          <w:ilvl w:val="0"/>
          <w:numId w:val="128"/>
        </w:numPr>
        <w:spacing w:before="100" w:beforeAutospacing="1" w:after="100" w:afterAutospacing="1" w:line="240" w:lineRule="auto"/>
        <w:ind w:left="2552" w:hanging="284"/>
        <w:jc w:val="both"/>
        <w:rPr>
          <w:szCs w:val="24"/>
        </w:rPr>
      </w:pPr>
      <w:r>
        <w:t>ne bo predložil popravljenih računovodskih izkazov.</w:t>
      </w:r>
    </w:p>
    <w:p w14:paraId="3BBB8D90" w14:textId="77777777" w:rsidR="00D30E81" w:rsidRPr="004264AF" w:rsidRDefault="00D30E81" w:rsidP="00273B1B">
      <w:pPr>
        <w:spacing w:before="100" w:beforeAutospacing="1" w:after="100" w:afterAutospacing="1" w:line="240" w:lineRule="auto"/>
        <w:ind w:left="1560"/>
        <w:jc w:val="both"/>
        <w:rPr>
          <w:szCs w:val="24"/>
        </w:rPr>
      </w:pPr>
      <w:r>
        <w:rPr>
          <w:b/>
        </w:rPr>
        <w:t>2. korak</w:t>
      </w:r>
      <w:r>
        <w:t xml:space="preserve"> – Upravičenec ima na voljo 60 koledarskih dni po prejemu </w:t>
      </w:r>
      <w:r>
        <w:rPr>
          <w:i/>
        </w:rPr>
        <w:t>uradnega obvestila</w:t>
      </w:r>
      <w:r>
        <w:t>, da predloži pripombe in popravljene računovodske izkaze ali predlaga ustrezno utemeljeno alternativno korekcijsko metodo. Komisija lahko to obdobje v upravičenih primerih podaljša.</w:t>
      </w:r>
    </w:p>
    <w:p w14:paraId="3BBB8D91" w14:textId="77777777" w:rsidR="00D30E81" w:rsidRPr="004264AF" w:rsidRDefault="00D30E81" w:rsidP="00273B1B">
      <w:pPr>
        <w:spacing w:before="100" w:beforeAutospacing="1" w:after="100" w:afterAutospacing="1" w:line="240" w:lineRule="auto"/>
        <w:ind w:left="1560"/>
        <w:jc w:val="both"/>
        <w:rPr>
          <w:szCs w:val="24"/>
        </w:rPr>
      </w:pPr>
      <w:r>
        <w:rPr>
          <w:b/>
        </w:rPr>
        <w:t>3. korak</w:t>
      </w:r>
      <w:r>
        <w:t xml:space="preserve"> – Če upravičenec predloži popravljene računovodske izkaze, ki upoštevajo ugotovitve, bo Komisija določila znesek, ki ga je treba popraviti na podlagi navedenih popravljenih izkazov.</w:t>
      </w:r>
    </w:p>
    <w:p w14:paraId="3BBB8D92" w14:textId="77777777" w:rsidR="00D30E81" w:rsidRPr="004264AF" w:rsidRDefault="00D30E81" w:rsidP="001C2768">
      <w:pPr>
        <w:spacing w:before="100" w:beforeAutospacing="1" w:after="0" w:line="240" w:lineRule="auto"/>
        <w:ind w:left="1560"/>
        <w:jc w:val="both"/>
        <w:rPr>
          <w:szCs w:val="24"/>
        </w:rPr>
      </w:pPr>
      <w:r>
        <w:t xml:space="preserve">Če upravičenec predlaga alternativno korekcijsko metodo in jo Komisija sprejme, mora Komisija upravičencu poslati </w:t>
      </w:r>
      <w:r>
        <w:rPr>
          <w:i/>
        </w:rPr>
        <w:t>uradno obvestilo</w:t>
      </w:r>
      <w:r>
        <w:t>, v katerem ga obvešča:</w:t>
      </w:r>
    </w:p>
    <w:p w14:paraId="3BBB8D93" w14:textId="77777777" w:rsidR="00D30E81" w:rsidRPr="004264AF" w:rsidRDefault="00D30E81" w:rsidP="001C2768">
      <w:pPr>
        <w:numPr>
          <w:ilvl w:val="0"/>
          <w:numId w:val="103"/>
        </w:numPr>
        <w:spacing w:after="100" w:afterAutospacing="1" w:line="240" w:lineRule="auto"/>
        <w:ind w:left="2127" w:hanging="567"/>
        <w:jc w:val="both"/>
        <w:rPr>
          <w:szCs w:val="24"/>
        </w:rPr>
      </w:pPr>
      <w:r>
        <w:t>da sprejema alternativno metodo;</w:t>
      </w:r>
    </w:p>
    <w:p w14:paraId="3BBB8D94" w14:textId="77777777" w:rsidR="00D30E81" w:rsidRPr="004264AF" w:rsidRDefault="00D30E81" w:rsidP="00273B1B">
      <w:pPr>
        <w:numPr>
          <w:ilvl w:val="0"/>
          <w:numId w:val="103"/>
        </w:numPr>
        <w:spacing w:before="100" w:beforeAutospacing="1" w:after="100" w:afterAutospacing="1" w:line="240" w:lineRule="auto"/>
        <w:ind w:left="2127" w:hanging="567"/>
        <w:jc w:val="both"/>
        <w:rPr>
          <w:szCs w:val="24"/>
        </w:rPr>
      </w:pPr>
      <w:r>
        <w:t>o popravljenih upravičenih stroških, določenih z uporabo te metode.</w:t>
      </w:r>
    </w:p>
    <w:p w14:paraId="3BBB8D95" w14:textId="77777777" w:rsidR="00D30E81" w:rsidRPr="004264AF" w:rsidRDefault="00D30E81" w:rsidP="001C2768">
      <w:pPr>
        <w:spacing w:before="100" w:beforeAutospacing="1" w:after="0" w:line="240" w:lineRule="auto"/>
        <w:ind w:left="1560"/>
        <w:jc w:val="both"/>
        <w:rPr>
          <w:szCs w:val="24"/>
        </w:rPr>
      </w:pPr>
      <w:r>
        <w:t xml:space="preserve">Drugače mora Komisija upravičencu poslati </w:t>
      </w:r>
      <w:r>
        <w:rPr>
          <w:i/>
        </w:rPr>
        <w:t>uradno obvestilo</w:t>
      </w:r>
      <w:r>
        <w:t>, v katerem ga obvešča:</w:t>
      </w:r>
    </w:p>
    <w:p w14:paraId="3BBB8D96" w14:textId="77777777" w:rsidR="00D30E81" w:rsidRPr="004264AF" w:rsidRDefault="00D30E81" w:rsidP="001C2768">
      <w:pPr>
        <w:numPr>
          <w:ilvl w:val="0"/>
          <w:numId w:val="104"/>
        </w:numPr>
        <w:spacing w:after="100" w:afterAutospacing="1" w:line="240" w:lineRule="auto"/>
        <w:ind w:left="2127" w:hanging="567"/>
        <w:jc w:val="both"/>
        <w:rPr>
          <w:szCs w:val="24"/>
        </w:rPr>
      </w:pPr>
      <w:r>
        <w:t>da ne sprejema pripomb ali predlagane alternativne metode;</w:t>
      </w:r>
    </w:p>
    <w:p w14:paraId="3BBB8D97" w14:textId="77777777" w:rsidR="00D30E81" w:rsidRPr="004264AF" w:rsidRDefault="00D30E81" w:rsidP="00273B1B">
      <w:pPr>
        <w:numPr>
          <w:ilvl w:val="0"/>
          <w:numId w:val="104"/>
        </w:numPr>
        <w:spacing w:before="100" w:beforeAutospacing="1" w:after="100" w:afterAutospacing="1" w:line="240" w:lineRule="auto"/>
        <w:ind w:left="2127" w:hanging="567"/>
        <w:jc w:val="both"/>
        <w:rPr>
          <w:szCs w:val="24"/>
        </w:rPr>
      </w:pPr>
      <w:r>
        <w:t>o popravljenih upravičenih stroških, določenih z uporabo metode ekstrapolacije, o kateri je bil prvotno obveščen upravičenec.</w:t>
      </w:r>
    </w:p>
    <w:p w14:paraId="3BBB8D98" w14:textId="098E9E02" w:rsidR="00D30E81" w:rsidRPr="004264AF" w:rsidRDefault="00D30E81" w:rsidP="001C2768">
      <w:pPr>
        <w:spacing w:before="100" w:beforeAutospacing="1" w:after="0" w:line="240" w:lineRule="auto"/>
        <w:ind w:left="1560"/>
        <w:jc w:val="both"/>
        <w:rPr>
          <w:szCs w:val="24"/>
        </w:rPr>
      </w:pPr>
      <w:r>
        <w:t xml:space="preserve">Če se sistemske ali ponavljajoče se </w:t>
      </w:r>
      <w:r>
        <w:rPr>
          <w:i/>
        </w:rPr>
        <w:t xml:space="preserve">nepravilnosti, goljufije </w:t>
      </w:r>
      <w:r>
        <w:t xml:space="preserve">ali </w:t>
      </w:r>
      <w:r>
        <w:rPr>
          <w:i/>
        </w:rPr>
        <w:t>kršitve obveznosti</w:t>
      </w:r>
      <w:r>
        <w:t xml:space="preserve"> ugotovijo po plačilu razlike, znesek, ki ga je treba izterjati, ustreza razliki med:</w:t>
      </w:r>
    </w:p>
    <w:p w14:paraId="3BBB8D99" w14:textId="77777777" w:rsidR="00D30E81" w:rsidRPr="004264AF" w:rsidRDefault="00D30E81" w:rsidP="001C2768">
      <w:pPr>
        <w:numPr>
          <w:ilvl w:val="0"/>
          <w:numId w:val="105"/>
        </w:numPr>
        <w:spacing w:after="100" w:afterAutospacing="1" w:line="240" w:lineRule="auto"/>
        <w:ind w:left="2127" w:hanging="567"/>
        <w:jc w:val="both"/>
        <w:rPr>
          <w:szCs w:val="24"/>
        </w:rPr>
      </w:pPr>
      <w:r>
        <w:t>popravljenim končnim zneskom nepovratnih sredstev, ki je določen v skladu s členom II.25 na podlagi popravljenih upravičenih stroškov, ki jih prijavi upravičenec in odobri Komisija, ali na podlagi popravljenih upravičenih stroškov po ekstrapolaciji, in</w:t>
      </w:r>
    </w:p>
    <w:p w14:paraId="3BBB8D9A" w14:textId="77777777" w:rsidR="00D30E81" w:rsidRPr="004264AF" w:rsidRDefault="00D30E81" w:rsidP="00273B1B">
      <w:pPr>
        <w:numPr>
          <w:ilvl w:val="0"/>
          <w:numId w:val="105"/>
        </w:numPr>
        <w:spacing w:before="100" w:beforeAutospacing="1" w:after="100" w:afterAutospacing="1" w:line="240" w:lineRule="auto"/>
        <w:ind w:left="2127" w:hanging="567"/>
        <w:jc w:val="both"/>
        <w:rPr>
          <w:szCs w:val="24"/>
        </w:rPr>
      </w:pPr>
      <w:r>
        <w:t xml:space="preserve">skupnim zneskom, plačanim upravičencu na podlagi sporazuma za izvajanje </w:t>
      </w:r>
      <w:r>
        <w:rPr>
          <w:i/>
        </w:rPr>
        <w:t>ukrepa</w:t>
      </w:r>
      <w:r>
        <w:t>.</w:t>
      </w:r>
    </w:p>
    <w:p w14:paraId="3BBB8D9B" w14:textId="3F505B0A" w:rsidR="00D30E81" w:rsidRPr="001C2768" w:rsidRDefault="00D30E81" w:rsidP="001C2768">
      <w:pPr>
        <w:pStyle w:val="ListParagraph"/>
        <w:numPr>
          <w:ilvl w:val="0"/>
          <w:numId w:val="101"/>
        </w:numPr>
        <w:autoSpaceDE w:val="0"/>
        <w:autoSpaceDN w:val="0"/>
        <w:adjustRightInd w:val="0"/>
        <w:spacing w:before="100" w:beforeAutospacing="1" w:after="100" w:afterAutospacing="1" w:line="240" w:lineRule="auto"/>
        <w:ind w:left="1560" w:hanging="567"/>
        <w:jc w:val="both"/>
      </w:pPr>
      <w:r>
        <w:t>Če se ugotovitve nanašajo na nepravilno izvajanje ali kršitev druge obveznosti, je postopek naslednji:</w:t>
      </w:r>
    </w:p>
    <w:p w14:paraId="3BBB8D9C" w14:textId="77777777" w:rsidR="00D30E81" w:rsidRPr="004264AF" w:rsidRDefault="00D30E81" w:rsidP="001C2768">
      <w:pPr>
        <w:spacing w:before="100" w:beforeAutospacing="1" w:after="0" w:line="240" w:lineRule="auto"/>
        <w:ind w:left="1560"/>
        <w:jc w:val="both"/>
        <w:rPr>
          <w:szCs w:val="24"/>
        </w:rPr>
      </w:pPr>
      <w:r>
        <w:rPr>
          <w:b/>
        </w:rPr>
        <w:t>1. korak</w:t>
      </w:r>
      <w:r>
        <w:t xml:space="preserve"> – </w:t>
      </w:r>
      <w:r>
        <w:rPr>
          <w:i/>
        </w:rPr>
        <w:t>Uradno obvestilo</w:t>
      </w:r>
      <w:r>
        <w:t xml:space="preserve"> mora vključevati:</w:t>
      </w:r>
    </w:p>
    <w:p w14:paraId="3BBB8D9D" w14:textId="77777777" w:rsidR="00D30E81" w:rsidRPr="004264AF" w:rsidRDefault="00D30E81" w:rsidP="001C2768">
      <w:pPr>
        <w:numPr>
          <w:ilvl w:val="0"/>
          <w:numId w:val="106"/>
        </w:numPr>
        <w:spacing w:after="100" w:afterAutospacing="1" w:line="240" w:lineRule="auto"/>
        <w:ind w:left="2127" w:hanging="567"/>
        <w:jc w:val="both"/>
        <w:rPr>
          <w:szCs w:val="24"/>
        </w:rPr>
      </w:pPr>
      <w:r>
        <w:t>poziv upravičencu k predložitvi pripomb o seznamu nepovratnih sredstev, na katera vplivajo ugotovitve, in</w:t>
      </w:r>
    </w:p>
    <w:p w14:paraId="3BBB8D9E" w14:textId="77777777" w:rsidR="00D30E81" w:rsidRPr="004264AF" w:rsidRDefault="00D30E81" w:rsidP="00C80215">
      <w:pPr>
        <w:numPr>
          <w:ilvl w:val="0"/>
          <w:numId w:val="106"/>
        </w:numPr>
        <w:spacing w:before="100" w:beforeAutospacing="1" w:after="100" w:afterAutospacing="1" w:line="240" w:lineRule="auto"/>
        <w:ind w:left="2127" w:hanging="567"/>
        <w:jc w:val="both"/>
        <w:rPr>
          <w:szCs w:val="24"/>
        </w:rPr>
      </w:pPr>
      <w:r>
        <w:t xml:space="preserve">korekcijsko pavšalno stopnjo, ki jo Komisija namerava uporabiti za </w:t>
      </w:r>
      <w:r>
        <w:rPr>
          <w:i/>
        </w:rPr>
        <w:t>najvišji znesek nepovratnih sredstev</w:t>
      </w:r>
      <w:r>
        <w:t xml:space="preserve"> ali za del teh sredstev, v skladu z načelom sorazmernosti.</w:t>
      </w:r>
    </w:p>
    <w:p w14:paraId="3BBB8D9F" w14:textId="77777777" w:rsidR="00D30E81" w:rsidRPr="004264AF" w:rsidRDefault="00D30E81" w:rsidP="00C80215">
      <w:pPr>
        <w:spacing w:before="100" w:beforeAutospacing="1" w:after="100" w:afterAutospacing="1" w:line="240" w:lineRule="auto"/>
        <w:ind w:left="1560"/>
        <w:jc w:val="both"/>
        <w:rPr>
          <w:szCs w:val="24"/>
        </w:rPr>
      </w:pPr>
      <w:r>
        <w:rPr>
          <w:b/>
        </w:rPr>
        <w:t>2. korak</w:t>
      </w:r>
      <w:r>
        <w:t xml:space="preserve"> – Upravičenec ima na voljo 60 koledarskih dni od prejema </w:t>
      </w:r>
      <w:r>
        <w:rPr>
          <w:i/>
        </w:rPr>
        <w:t>uradnega obvestila</w:t>
      </w:r>
      <w:r>
        <w:t>, da predloži pripombe ali predlaga ustrezno utemeljeno alternativno pavšalno stopnjo.</w:t>
      </w:r>
    </w:p>
    <w:p w14:paraId="3BBB8DA0" w14:textId="77777777" w:rsidR="00D30E81" w:rsidRPr="004264AF" w:rsidRDefault="00D30E81" w:rsidP="001C2768">
      <w:pPr>
        <w:spacing w:before="100" w:beforeAutospacing="1" w:after="0" w:line="240" w:lineRule="auto"/>
        <w:ind w:left="1560"/>
        <w:jc w:val="both"/>
        <w:rPr>
          <w:szCs w:val="24"/>
        </w:rPr>
      </w:pPr>
      <w:r>
        <w:rPr>
          <w:b/>
        </w:rPr>
        <w:t>3. korak</w:t>
      </w:r>
      <w:r>
        <w:t xml:space="preserve"> – Če Komisija sprejme alternativno pavšalno stopnjo, ki jo predlaga upravičenec, mora upravičencu poslati </w:t>
      </w:r>
      <w:r>
        <w:rPr>
          <w:i/>
        </w:rPr>
        <w:t>uradno obvestilo</w:t>
      </w:r>
      <w:r>
        <w:t>, v katerem ga obvešča:</w:t>
      </w:r>
    </w:p>
    <w:p w14:paraId="3BBB8DA1" w14:textId="77777777" w:rsidR="00D30E81" w:rsidRPr="004264AF" w:rsidRDefault="00D30E81" w:rsidP="001C2768">
      <w:pPr>
        <w:numPr>
          <w:ilvl w:val="0"/>
          <w:numId w:val="107"/>
        </w:numPr>
        <w:spacing w:after="100" w:afterAutospacing="1" w:line="240" w:lineRule="auto"/>
        <w:ind w:left="2127" w:hanging="567"/>
        <w:jc w:val="both"/>
        <w:rPr>
          <w:szCs w:val="24"/>
        </w:rPr>
      </w:pPr>
      <w:r>
        <w:t>da sprejema alternativno pavšalno stopnjo;</w:t>
      </w:r>
    </w:p>
    <w:p w14:paraId="3BBB8DA2" w14:textId="77777777" w:rsidR="00D30E81" w:rsidRPr="004264AF" w:rsidRDefault="00D30E81" w:rsidP="00C80215">
      <w:pPr>
        <w:numPr>
          <w:ilvl w:val="0"/>
          <w:numId w:val="107"/>
        </w:numPr>
        <w:spacing w:before="100" w:beforeAutospacing="1" w:after="100" w:afterAutospacing="1" w:line="240" w:lineRule="auto"/>
        <w:ind w:left="2127" w:hanging="567"/>
        <w:jc w:val="both"/>
        <w:rPr>
          <w:szCs w:val="24"/>
        </w:rPr>
      </w:pPr>
      <w:r>
        <w:t>o znesku nepovratnih sredstev, popravljenem z uporabo te pavšalne stopnje.</w:t>
      </w:r>
    </w:p>
    <w:p w14:paraId="3BBB8DA3" w14:textId="77777777" w:rsidR="00D30E81" w:rsidRPr="004264AF" w:rsidRDefault="00D30E81" w:rsidP="001C2768">
      <w:pPr>
        <w:spacing w:before="100" w:beforeAutospacing="1" w:after="0" w:line="240" w:lineRule="auto"/>
        <w:ind w:left="1560"/>
        <w:jc w:val="both"/>
        <w:rPr>
          <w:szCs w:val="24"/>
        </w:rPr>
      </w:pPr>
      <w:r>
        <w:t xml:space="preserve">Drugače mora Komisija upravičencu poslati </w:t>
      </w:r>
      <w:r>
        <w:rPr>
          <w:i/>
        </w:rPr>
        <w:t>uradno obvestilo</w:t>
      </w:r>
      <w:r>
        <w:t>, v katerem ga obvešča:</w:t>
      </w:r>
    </w:p>
    <w:p w14:paraId="3BBB8DA4" w14:textId="77777777" w:rsidR="00D30E81" w:rsidRPr="004264AF" w:rsidRDefault="00D30E81" w:rsidP="001C2768">
      <w:pPr>
        <w:numPr>
          <w:ilvl w:val="0"/>
          <w:numId w:val="108"/>
        </w:numPr>
        <w:spacing w:after="100" w:afterAutospacing="1" w:line="240" w:lineRule="auto"/>
        <w:ind w:left="2127" w:hanging="567"/>
        <w:jc w:val="both"/>
        <w:rPr>
          <w:szCs w:val="24"/>
        </w:rPr>
      </w:pPr>
      <w:r>
        <w:t>da ne sprejema pripomb ali predlagane alternativne pavšalne stopnje;</w:t>
      </w:r>
    </w:p>
    <w:p w14:paraId="3BBB8DA5" w14:textId="77777777" w:rsidR="00D30E81" w:rsidRPr="004264AF" w:rsidRDefault="00D30E81" w:rsidP="00C80215">
      <w:pPr>
        <w:numPr>
          <w:ilvl w:val="0"/>
          <w:numId w:val="108"/>
        </w:numPr>
        <w:spacing w:before="100" w:beforeAutospacing="1" w:after="100" w:afterAutospacing="1" w:line="240" w:lineRule="auto"/>
        <w:ind w:left="2127" w:hanging="567"/>
        <w:jc w:val="both"/>
        <w:rPr>
          <w:szCs w:val="24"/>
        </w:rPr>
      </w:pPr>
      <w:r>
        <w:t>o znesku nepovratnih sredstev, popravljenem z uporabo pavšalne stopnje, o kateri je bil prvotno obveščen upravičenec.</w:t>
      </w:r>
    </w:p>
    <w:p w14:paraId="3BBB8DA6" w14:textId="08C15DD6" w:rsidR="00D30E81" w:rsidRPr="004264AF" w:rsidRDefault="00D30E81" w:rsidP="001C2768">
      <w:pPr>
        <w:spacing w:before="100" w:beforeAutospacing="1" w:after="0" w:line="240" w:lineRule="auto"/>
        <w:ind w:left="1560"/>
        <w:jc w:val="both"/>
        <w:rPr>
          <w:szCs w:val="24"/>
        </w:rPr>
      </w:pPr>
      <w:r>
        <w:t xml:space="preserve">Če se sistemske ali ponavljajoče se </w:t>
      </w:r>
      <w:r>
        <w:rPr>
          <w:i/>
        </w:rPr>
        <w:t xml:space="preserve">nepravilnosti, goljufije </w:t>
      </w:r>
      <w:r>
        <w:t xml:space="preserve">ali </w:t>
      </w:r>
      <w:r>
        <w:rPr>
          <w:i/>
        </w:rPr>
        <w:t>kršitve obveznosti</w:t>
      </w:r>
      <w:r>
        <w:t xml:space="preserve"> ugotovijo po plačilu razlike, znesek, ki ga je treba izterjati, ustreza razliki med:</w:t>
      </w:r>
    </w:p>
    <w:p w14:paraId="3BBB8DA7" w14:textId="77777777" w:rsidR="00D30E81" w:rsidRPr="004264AF" w:rsidRDefault="00D30E81" w:rsidP="001C2768">
      <w:pPr>
        <w:numPr>
          <w:ilvl w:val="0"/>
          <w:numId w:val="109"/>
        </w:numPr>
        <w:spacing w:after="100" w:afterAutospacing="1" w:line="240" w:lineRule="auto"/>
        <w:ind w:left="2127" w:hanging="567"/>
        <w:jc w:val="both"/>
        <w:rPr>
          <w:szCs w:val="24"/>
        </w:rPr>
      </w:pPr>
      <w:r>
        <w:t>popravljenim končnim zneskom nepovratnih sredstev po uporabi korekcijske pavšalne stopnje in</w:t>
      </w:r>
    </w:p>
    <w:p w14:paraId="3BBB8DA8" w14:textId="77777777" w:rsidR="00D30E81" w:rsidRPr="004264AF" w:rsidRDefault="00D30E81" w:rsidP="00C80215">
      <w:pPr>
        <w:numPr>
          <w:ilvl w:val="0"/>
          <w:numId w:val="109"/>
        </w:numPr>
        <w:spacing w:before="100" w:beforeAutospacing="1" w:after="100" w:afterAutospacing="1" w:line="240" w:lineRule="auto"/>
        <w:ind w:left="2127" w:hanging="567"/>
        <w:jc w:val="both"/>
        <w:rPr>
          <w:szCs w:val="24"/>
        </w:rPr>
      </w:pPr>
      <w:r>
        <w:t xml:space="preserve">skupnim zneskom, plačanim upravičencu na podlagi sporazuma za izvajanje </w:t>
      </w:r>
      <w:r>
        <w:rPr>
          <w:i/>
        </w:rPr>
        <w:t>ukrepa</w:t>
      </w:r>
      <w:r>
        <w:t>.</w:t>
      </w:r>
    </w:p>
    <w:p w14:paraId="3BBB8DA9" w14:textId="24092C68" w:rsidR="00D30E81" w:rsidRPr="00D06D68" w:rsidRDefault="00D30E81" w:rsidP="00797757">
      <w:pPr>
        <w:pStyle w:val="Heading3"/>
        <w:spacing w:before="100" w:beforeAutospacing="1" w:after="100" w:afterAutospacing="1"/>
      </w:pPr>
      <w:bookmarkStart w:id="210" w:name="_Toc441250891"/>
      <w:bookmarkStart w:id="211" w:name="_Toc1637228"/>
      <w:bookmarkStart w:id="212" w:name="_Toc30752015"/>
      <w:r>
        <w:t>II.27.8 Pravice urada OLAF</w:t>
      </w:r>
      <w:bookmarkEnd w:id="210"/>
      <w:bookmarkEnd w:id="211"/>
      <w:bookmarkEnd w:id="212"/>
    </w:p>
    <w:p w14:paraId="3BBB8DAA" w14:textId="77777777" w:rsidR="00D30E81" w:rsidRPr="004264AF" w:rsidRDefault="00D30E81" w:rsidP="00797757">
      <w:pPr>
        <w:spacing w:before="100" w:beforeAutospacing="1" w:after="100" w:afterAutospacing="1" w:line="240" w:lineRule="auto"/>
        <w:jc w:val="both"/>
        <w:rPr>
          <w:szCs w:val="24"/>
        </w:rPr>
      </w:pPr>
      <w:r>
        <w:t>Evropski urad za boj proti goljufijam (OLAF) ima za namene preverjanj in preiskav enake pravice kot Komisija, zlasti pravico do dostopa.</w:t>
      </w:r>
    </w:p>
    <w:p w14:paraId="3BBB8DAB" w14:textId="77777777" w:rsidR="00D30E81" w:rsidRPr="004264AF" w:rsidRDefault="00D30E81" w:rsidP="00797757">
      <w:pPr>
        <w:spacing w:before="100" w:beforeAutospacing="1" w:after="100" w:afterAutospacing="1" w:line="240" w:lineRule="auto"/>
        <w:jc w:val="both"/>
        <w:rPr>
          <w:szCs w:val="24"/>
        </w:rPr>
      </w:pPr>
      <w:r>
        <w:t>V okviru Uredbe Sveta (Euratom, ES) št. 2185/96</w:t>
      </w:r>
      <w:r>
        <w:rPr>
          <w:rStyle w:val="FootnoteReference"/>
        </w:rPr>
        <w:footnoteReference w:id="5"/>
      </w:r>
      <w:r>
        <w:t xml:space="preserve"> in Uredbe (EU, Euratom) št. 883/2013</w:t>
      </w:r>
      <w:r>
        <w:rPr>
          <w:rStyle w:val="FootnoteReference"/>
        </w:rPr>
        <w:footnoteReference w:id="6"/>
      </w:r>
      <w:r>
        <w:t xml:space="preserve"> lahko tudi urad OLAF opravlja preglede in inšpekcije na kraju samem v skladu s postopki, ki jih določa pravo Unije za zaščito finančnih interesov Unije pred </w:t>
      </w:r>
      <w:r>
        <w:rPr>
          <w:i/>
        </w:rPr>
        <w:t>goljufijami</w:t>
      </w:r>
      <w:r>
        <w:t xml:space="preserve"> in drugimi </w:t>
      </w:r>
      <w:r>
        <w:rPr>
          <w:i/>
        </w:rPr>
        <w:t>nepravilnostmi</w:t>
      </w:r>
      <w:r>
        <w:t>.</w:t>
      </w:r>
    </w:p>
    <w:p w14:paraId="3BBB8DAC" w14:textId="77777777" w:rsidR="00D30E81" w:rsidRPr="004264AF" w:rsidRDefault="00D30E81" w:rsidP="00797757">
      <w:pPr>
        <w:spacing w:before="100" w:beforeAutospacing="1" w:after="100" w:afterAutospacing="1" w:line="240" w:lineRule="auto"/>
        <w:jc w:val="both"/>
        <w:rPr>
          <w:szCs w:val="24"/>
        </w:rPr>
      </w:pPr>
      <w:r>
        <w:t>Kadar je primerno, so ugotovitve urada OLAF lahko podlaga za izterjavo zneskov od upravičenca s strani Komisije.</w:t>
      </w:r>
    </w:p>
    <w:p w14:paraId="3BBB8DAD" w14:textId="77777777" w:rsidR="00D30E81" w:rsidRPr="004264AF" w:rsidRDefault="00D30E81" w:rsidP="00797757">
      <w:pPr>
        <w:spacing w:before="100" w:beforeAutospacing="1" w:after="100" w:afterAutospacing="1" w:line="240" w:lineRule="auto"/>
        <w:jc w:val="both"/>
        <w:rPr>
          <w:szCs w:val="24"/>
        </w:rPr>
      </w:pPr>
      <w:r>
        <w:t>Poleg tega so ugotovitve iz preiskave urada OLAF lahko podlaga za kazenske pregone na podlagi nacionalnega prava.</w:t>
      </w:r>
    </w:p>
    <w:p w14:paraId="3BBB8DAE" w14:textId="2597623F" w:rsidR="00D30E81" w:rsidRPr="00D06D68" w:rsidRDefault="00D30E81" w:rsidP="00797757">
      <w:pPr>
        <w:pStyle w:val="Heading3"/>
        <w:spacing w:before="100" w:beforeAutospacing="1" w:after="100" w:afterAutospacing="1"/>
      </w:pPr>
      <w:bookmarkStart w:id="213" w:name="_Toc441250892"/>
      <w:bookmarkStart w:id="214" w:name="_Toc1637229"/>
      <w:bookmarkStart w:id="215" w:name="_Toc30752016"/>
      <w:r>
        <w:t>II.27.9</w:t>
      </w:r>
      <w:r>
        <w:tab/>
        <w:t>Pravice Evropskega računskega sodišča</w:t>
      </w:r>
      <w:bookmarkEnd w:id="213"/>
      <w:r>
        <w:t xml:space="preserve"> in EJT</w:t>
      </w:r>
      <w:bookmarkEnd w:id="214"/>
      <w:bookmarkEnd w:id="215"/>
    </w:p>
    <w:p w14:paraId="3BBB8DAF" w14:textId="1C3F4656" w:rsidR="00D30E81" w:rsidRPr="004264AF" w:rsidRDefault="00D30E81" w:rsidP="00797757">
      <w:pPr>
        <w:spacing w:before="100" w:beforeAutospacing="1" w:after="100" w:afterAutospacing="1" w:line="240" w:lineRule="auto"/>
        <w:jc w:val="both"/>
        <w:rPr>
          <w:szCs w:val="24"/>
        </w:rPr>
      </w:pPr>
      <w:r>
        <w:t>Evropsko računsko sodišče in Evropsko javno tožilstvo (EJT), ustanovljeno z Uredbo Sveta (EU) 2017/1939, imata za namene preverjanj, revizij in preiskav enake pravice kot Komisija, zlasti pravico do dostopa.</w:t>
      </w:r>
    </w:p>
    <w:sectPr w:rsidR="00D30E81" w:rsidRPr="004264A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B8DB4" w14:textId="77777777" w:rsidR="006B5E99" w:rsidRDefault="006B5E99" w:rsidP="009533DC">
      <w:pPr>
        <w:spacing w:after="0" w:line="240" w:lineRule="auto"/>
      </w:pPr>
      <w:r>
        <w:separator/>
      </w:r>
    </w:p>
  </w:endnote>
  <w:endnote w:type="continuationSeparator" w:id="0">
    <w:p w14:paraId="3BBB8DB5" w14:textId="77777777" w:rsidR="006B5E99" w:rsidRDefault="006B5E99" w:rsidP="0095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8DB7" w14:textId="3244A3AA" w:rsidR="006B5E99" w:rsidRDefault="006B5E99">
    <w:pPr>
      <w:pStyle w:val="Footer"/>
      <w:jc w:val="right"/>
    </w:pPr>
    <w:r>
      <w:fldChar w:fldCharType="begin"/>
    </w:r>
    <w:r>
      <w:instrText xml:space="preserve"> PAGE   \* MERGEFORMAT </w:instrText>
    </w:r>
    <w:r>
      <w:fldChar w:fldCharType="separate"/>
    </w:r>
    <w:r w:rsidR="002A53B9">
      <w:rPr>
        <w:noProof/>
      </w:rPr>
      <w:t>1</w:t>
    </w:r>
    <w:r>
      <w:rPr>
        <w:noProof/>
      </w:rPr>
      <w:fldChar w:fldCharType="end"/>
    </w:r>
  </w:p>
  <w:p w14:paraId="3BBB8DB8" w14:textId="77777777" w:rsidR="006B5E99" w:rsidRDefault="006B5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8DBA" w14:textId="1471530F" w:rsidR="006B5E99" w:rsidRDefault="006B5E99">
    <w:pPr>
      <w:pStyle w:val="Footer"/>
      <w:jc w:val="right"/>
    </w:pPr>
    <w:r>
      <w:fldChar w:fldCharType="begin"/>
    </w:r>
    <w:r>
      <w:instrText xml:space="preserve"> PAGE   \* MERGEFORMAT </w:instrText>
    </w:r>
    <w:r>
      <w:fldChar w:fldCharType="separate"/>
    </w:r>
    <w:r w:rsidR="002A53B9">
      <w:rPr>
        <w:noProof/>
      </w:rPr>
      <w:t>21</w:t>
    </w:r>
    <w:r>
      <w:rPr>
        <w:noProof/>
      </w:rPr>
      <w:fldChar w:fldCharType="end"/>
    </w:r>
  </w:p>
  <w:p w14:paraId="3BBB8DBB" w14:textId="77777777" w:rsidR="006B5E99" w:rsidRDefault="006B5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B8DB2" w14:textId="77777777" w:rsidR="006B5E99" w:rsidRDefault="006B5E99" w:rsidP="009533DC">
      <w:pPr>
        <w:spacing w:after="0" w:line="240" w:lineRule="auto"/>
      </w:pPr>
      <w:r>
        <w:separator/>
      </w:r>
    </w:p>
  </w:footnote>
  <w:footnote w:type="continuationSeparator" w:id="0">
    <w:p w14:paraId="3BBB8DB3" w14:textId="77777777" w:rsidR="006B5E99" w:rsidRDefault="006B5E99" w:rsidP="009533DC">
      <w:pPr>
        <w:spacing w:after="0" w:line="240" w:lineRule="auto"/>
      </w:pPr>
      <w:r>
        <w:continuationSeparator/>
      </w:r>
    </w:p>
  </w:footnote>
  <w:footnote w:id="1">
    <w:p w14:paraId="3BBB8DE9" w14:textId="12010E05" w:rsidR="006B5E99" w:rsidRPr="00A83724" w:rsidRDefault="006B5E99" w:rsidP="002F2688">
      <w:pPr>
        <w:tabs>
          <w:tab w:val="left" w:pos="284"/>
        </w:tabs>
        <w:spacing w:after="0" w:line="240" w:lineRule="auto"/>
        <w:ind w:left="284" w:hanging="284"/>
        <w:jc w:val="both"/>
        <w:rPr>
          <w:sz w:val="20"/>
          <w:szCs w:val="20"/>
        </w:rPr>
      </w:pPr>
      <w:r>
        <w:rPr>
          <w:rStyle w:val="FootnoteReference"/>
          <w:sz w:val="20"/>
        </w:rPr>
        <w:footnoteRef/>
      </w:r>
      <w:r>
        <w:rPr>
          <w:sz w:val="20"/>
        </w:rPr>
        <w:t xml:space="preserve"> </w:t>
      </w:r>
      <w:r>
        <w:tab/>
      </w:r>
      <w:r>
        <w:rPr>
          <w:sz w:val="20"/>
        </w:rPr>
        <w:t>Uredba (EU) 2018/1725 Evropskega parlamenta in Sveta z dne 23. oktobra 2018 o varstvu posameznikov pri obdelavi osebnih podatkov v institucijah, organih, uradih in agencijah Unije in o prostem pretoku takih podatkov ter o razveljavitvi Uredbe (ES) št. 45/2001 in Sklepa št. 1247/2002/ES.</w:t>
      </w:r>
    </w:p>
  </w:footnote>
  <w:footnote w:id="2">
    <w:p w14:paraId="3BBB8DEA" w14:textId="67B414F1" w:rsidR="006B5E99" w:rsidRPr="003F39F9" w:rsidRDefault="006B5E99" w:rsidP="001C2768">
      <w:pPr>
        <w:pStyle w:val="FootnoteText"/>
        <w:tabs>
          <w:tab w:val="left" w:pos="284"/>
        </w:tabs>
        <w:spacing w:after="0" w:line="240" w:lineRule="auto"/>
        <w:ind w:left="284" w:hanging="284"/>
        <w:jc w:val="both"/>
      </w:pPr>
      <w:r>
        <w:rPr>
          <w:rStyle w:val="FootnoteReference"/>
        </w:rPr>
        <w:footnoteRef/>
      </w:r>
      <w:r>
        <w:t xml:space="preserve"> </w:t>
      </w:r>
      <w:r>
        <w:tab/>
        <w:t>Direktiva 2014/24/EU Evropskega parlamenta in Sveta z dne 26. februarja 2014 o javnem naročanju in razveljavitvi Direktive 2004/18/ES.</w:t>
      </w:r>
    </w:p>
  </w:footnote>
  <w:footnote w:id="3">
    <w:p w14:paraId="3BBB8DEB" w14:textId="7743A174" w:rsidR="006B5E99" w:rsidRPr="003F39F9" w:rsidRDefault="006B5E99" w:rsidP="001C2768">
      <w:pPr>
        <w:pStyle w:val="FootnoteText"/>
        <w:tabs>
          <w:tab w:val="left" w:pos="284"/>
        </w:tabs>
        <w:spacing w:after="0" w:line="240" w:lineRule="auto"/>
        <w:ind w:left="284" w:hanging="284"/>
        <w:jc w:val="both"/>
      </w:pPr>
      <w:r>
        <w:rPr>
          <w:rStyle w:val="FootnoteReference"/>
        </w:rPr>
        <w:footnoteRef/>
      </w:r>
      <w:r>
        <w:t xml:space="preserve"> </w:t>
      </w:r>
      <w:r>
        <w:tab/>
        <w:t>Direktiva 2014/25/EU Evropskega parlamenta in Sveta z dne 26. februarja 2014 o javnem naročanju naročnikov, ki opravljajo dejavnosti v vodnem, energetskem in prometnem sektorju ter sektorju poštnih storitev ter o razveljavitvi Direktive 2004/17/ES.</w:t>
      </w:r>
    </w:p>
    <w:p w14:paraId="3BBB8DEC" w14:textId="77777777" w:rsidR="006B5E99" w:rsidRPr="00A83724" w:rsidRDefault="006B5E99" w:rsidP="00A538BB">
      <w:pPr>
        <w:pStyle w:val="FootnoteText"/>
        <w:tabs>
          <w:tab w:val="left" w:pos="284"/>
        </w:tabs>
        <w:spacing w:after="0" w:line="240" w:lineRule="auto"/>
        <w:ind w:left="284" w:hanging="284"/>
      </w:pPr>
    </w:p>
  </w:footnote>
  <w:footnote w:id="4">
    <w:p w14:paraId="3BBB8DEE" w14:textId="2248D718" w:rsidR="006B5E99" w:rsidRPr="006250FD" w:rsidRDefault="006B5E99" w:rsidP="001C2768">
      <w:pPr>
        <w:pStyle w:val="FootnoteText"/>
        <w:tabs>
          <w:tab w:val="left" w:pos="284"/>
        </w:tabs>
        <w:spacing w:after="0" w:line="240" w:lineRule="auto"/>
        <w:ind w:left="284" w:hanging="284"/>
        <w:jc w:val="both"/>
      </w:pPr>
      <w:r>
        <w:rPr>
          <w:rStyle w:val="FootnoteReference"/>
        </w:rPr>
        <w:footnoteRef/>
      </w:r>
      <w:r>
        <w:t xml:space="preserve"> </w:t>
      </w:r>
      <w:r>
        <w:tab/>
        <w:t>Direktiva 2007/64/ES</w:t>
      </w:r>
      <w:r>
        <w:rPr>
          <w:rStyle w:val="FootnoteReference"/>
        </w:rPr>
        <w:footnoteRef/>
      </w:r>
      <w:r>
        <w:t xml:space="preserve"> Evropskega parlamenta in Sveta z dne 13. novembra 2007 o plačilnih storitvah na notranjem trgu in o spremembah direktiv 97/7/ES, 2002/65/ES, 2005/60/ES in 2006/48/ES ter o razveljavitvi Direktive 97/5/ES.</w:t>
      </w:r>
    </w:p>
  </w:footnote>
  <w:footnote w:id="5">
    <w:p w14:paraId="3BBB8DEF" w14:textId="5F7078BA" w:rsidR="006B5E99" w:rsidRPr="00A83724" w:rsidRDefault="006B5E99" w:rsidP="001C2768">
      <w:pPr>
        <w:pStyle w:val="FootnoteText"/>
        <w:tabs>
          <w:tab w:val="left" w:pos="284"/>
        </w:tabs>
        <w:spacing w:after="0" w:line="240" w:lineRule="auto"/>
        <w:ind w:left="284" w:hanging="284"/>
        <w:jc w:val="both"/>
      </w:pPr>
      <w:r>
        <w:rPr>
          <w:rStyle w:val="FootnoteReference"/>
        </w:rPr>
        <w:footnoteRef/>
      </w:r>
      <w:r>
        <w:t xml:space="preserve"> </w:t>
      </w:r>
      <w:r>
        <w:tab/>
        <w:t>Uredba Sveta (Euratom, ES) št. 2185/96 z dne 11. novembra 1996 o pregledih in inšpekcijah na kraju samem, ki jih opravlja Komisija za zaščito finančnih interesov Evropskih skupnosti pred goljufijami in drugimi nepravilnostmi.</w:t>
      </w:r>
    </w:p>
  </w:footnote>
  <w:footnote w:id="6">
    <w:p w14:paraId="3BBB8DF0" w14:textId="78D45C92" w:rsidR="006B5E99" w:rsidRPr="00A83724" w:rsidRDefault="006B5E99" w:rsidP="001C2768">
      <w:pPr>
        <w:pStyle w:val="FootnoteText"/>
        <w:tabs>
          <w:tab w:val="left" w:pos="284"/>
        </w:tabs>
        <w:spacing w:after="0" w:line="240" w:lineRule="auto"/>
        <w:ind w:left="284" w:hanging="284"/>
        <w:jc w:val="both"/>
      </w:pPr>
      <w:r>
        <w:rPr>
          <w:rStyle w:val="FootnoteReference"/>
        </w:rPr>
        <w:footnoteRef/>
      </w:r>
      <w:r>
        <w:t xml:space="preserve"> </w:t>
      </w:r>
      <w:r>
        <w:tab/>
        <w:t>Uredba (EU, Euratom) št. 883/2013 Evropskega parlamenta in Sveta z dne 11. septembra 2013 o preiskavah, ki jih izvaja Evropski urad za boj proti goljufijam (OLAF).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6EA09" w14:textId="689DF16F" w:rsidR="006B5E99" w:rsidRDefault="006B5E99" w:rsidP="001C2768">
    <w:pPr>
      <w:pStyle w:val="Header"/>
      <w:spacing w:after="0"/>
      <w:rPr>
        <w:sz w:val="18"/>
        <w:szCs w:val="18"/>
      </w:rPr>
    </w:pPr>
    <w:r>
      <w:tab/>
    </w:r>
    <w:r>
      <w:tab/>
    </w:r>
  </w:p>
  <w:p w14:paraId="3BBB8DB6" w14:textId="6C746426" w:rsidR="006B5E99" w:rsidRPr="00192D0E" w:rsidRDefault="006B5E99" w:rsidP="001C2768">
    <w:pPr>
      <w:pStyle w:val="Header"/>
      <w:jc w:val="right"/>
      <w:rPr>
        <w:sz w:val="18"/>
        <w:szCs w:val="18"/>
      </w:rPr>
    </w:pPr>
    <w:r>
      <w:rPr>
        <w:sz w:val="18"/>
      </w:rPr>
      <w:t xml:space="preserve">Vzorec sporazuma o nepovratnih sredstvih z enim upravičencem: </w:t>
    </w:r>
    <w:r w:rsidR="002A53B9">
      <w:rPr>
        <w:sz w:val="18"/>
      </w:rPr>
      <w:t>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8DB9" w14:textId="77777777" w:rsidR="006B5E99" w:rsidRDefault="006B5E99">
    <w:pPr>
      <w:pStyle w:val="Header"/>
    </w:pPr>
    <w:r>
      <w:rPr>
        <w:sz w:val="18"/>
      </w:rPr>
      <w:t>Številka sporazuma: [izpolnite]</w:t>
    </w:r>
    <w:r>
      <w:tab/>
    </w:r>
    <w:r>
      <w:tab/>
    </w:r>
    <w:r>
      <w:rPr>
        <w:sz w:val="18"/>
      </w:rPr>
      <w:t>Vzorec sporazuma o nepovratnih sredstvih (en upravičenec): februar 2013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697"/>
    <w:multiLevelType w:val="hybridMultilevel"/>
    <w:tmpl w:val="D79AB75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538EE"/>
    <w:multiLevelType w:val="hybridMultilevel"/>
    <w:tmpl w:val="79B2FF8A"/>
    <w:lvl w:ilvl="0" w:tplc="85F44E24">
      <w:start w:val="2"/>
      <w:numFmt w:val="bullet"/>
      <w:lvlText w:val="-"/>
      <w:lvlJc w:val="left"/>
      <w:pPr>
        <w:ind w:left="2421" w:hanging="360"/>
      </w:pPr>
      <w:rPr>
        <w:rFonts w:ascii="Calibri" w:eastAsia="Calibri" w:hAnsi="Calibri" w:cs="Calibri" w:hint="default"/>
      </w:rPr>
    </w:lvl>
    <w:lvl w:ilvl="1" w:tplc="080C0003" w:tentative="1">
      <w:start w:val="1"/>
      <w:numFmt w:val="bullet"/>
      <w:lvlText w:val="o"/>
      <w:lvlJc w:val="left"/>
      <w:pPr>
        <w:ind w:left="3141" w:hanging="360"/>
      </w:pPr>
      <w:rPr>
        <w:rFonts w:ascii="Courier New" w:hAnsi="Courier New" w:cs="Courier New" w:hint="default"/>
      </w:rPr>
    </w:lvl>
    <w:lvl w:ilvl="2" w:tplc="080C0005" w:tentative="1">
      <w:start w:val="1"/>
      <w:numFmt w:val="bullet"/>
      <w:lvlText w:val=""/>
      <w:lvlJc w:val="left"/>
      <w:pPr>
        <w:ind w:left="3861" w:hanging="360"/>
      </w:pPr>
      <w:rPr>
        <w:rFonts w:ascii="Wingdings" w:hAnsi="Wingdings" w:hint="default"/>
      </w:rPr>
    </w:lvl>
    <w:lvl w:ilvl="3" w:tplc="080C0001" w:tentative="1">
      <w:start w:val="1"/>
      <w:numFmt w:val="bullet"/>
      <w:lvlText w:val=""/>
      <w:lvlJc w:val="left"/>
      <w:pPr>
        <w:ind w:left="4581" w:hanging="360"/>
      </w:pPr>
      <w:rPr>
        <w:rFonts w:ascii="Symbol" w:hAnsi="Symbol" w:hint="default"/>
      </w:rPr>
    </w:lvl>
    <w:lvl w:ilvl="4" w:tplc="080C0003" w:tentative="1">
      <w:start w:val="1"/>
      <w:numFmt w:val="bullet"/>
      <w:lvlText w:val="o"/>
      <w:lvlJc w:val="left"/>
      <w:pPr>
        <w:ind w:left="5301" w:hanging="360"/>
      </w:pPr>
      <w:rPr>
        <w:rFonts w:ascii="Courier New" w:hAnsi="Courier New" w:cs="Courier New" w:hint="default"/>
      </w:rPr>
    </w:lvl>
    <w:lvl w:ilvl="5" w:tplc="080C0005" w:tentative="1">
      <w:start w:val="1"/>
      <w:numFmt w:val="bullet"/>
      <w:lvlText w:val=""/>
      <w:lvlJc w:val="left"/>
      <w:pPr>
        <w:ind w:left="6021" w:hanging="360"/>
      </w:pPr>
      <w:rPr>
        <w:rFonts w:ascii="Wingdings" w:hAnsi="Wingdings" w:hint="default"/>
      </w:rPr>
    </w:lvl>
    <w:lvl w:ilvl="6" w:tplc="080C0001" w:tentative="1">
      <w:start w:val="1"/>
      <w:numFmt w:val="bullet"/>
      <w:lvlText w:val=""/>
      <w:lvlJc w:val="left"/>
      <w:pPr>
        <w:ind w:left="6741" w:hanging="360"/>
      </w:pPr>
      <w:rPr>
        <w:rFonts w:ascii="Symbol" w:hAnsi="Symbol" w:hint="default"/>
      </w:rPr>
    </w:lvl>
    <w:lvl w:ilvl="7" w:tplc="080C0003" w:tentative="1">
      <w:start w:val="1"/>
      <w:numFmt w:val="bullet"/>
      <w:lvlText w:val="o"/>
      <w:lvlJc w:val="left"/>
      <w:pPr>
        <w:ind w:left="7461" w:hanging="360"/>
      </w:pPr>
      <w:rPr>
        <w:rFonts w:ascii="Courier New" w:hAnsi="Courier New" w:cs="Courier New" w:hint="default"/>
      </w:rPr>
    </w:lvl>
    <w:lvl w:ilvl="8" w:tplc="080C0005" w:tentative="1">
      <w:start w:val="1"/>
      <w:numFmt w:val="bullet"/>
      <w:lvlText w:val=""/>
      <w:lvlJc w:val="left"/>
      <w:pPr>
        <w:ind w:left="8181" w:hanging="360"/>
      </w:pPr>
      <w:rPr>
        <w:rFonts w:ascii="Wingdings" w:hAnsi="Wingdings" w:hint="default"/>
      </w:r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57A47F2"/>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6" w15:restartNumberingAfterBreak="0">
    <w:nsid w:val="06AE758C"/>
    <w:multiLevelType w:val="hybridMultilevel"/>
    <w:tmpl w:val="A02098E4"/>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B75D1B"/>
    <w:multiLevelType w:val="hybridMultilevel"/>
    <w:tmpl w:val="4E2C3C9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D74C38"/>
    <w:multiLevelType w:val="hybridMultilevel"/>
    <w:tmpl w:val="E4BCA894"/>
    <w:lvl w:ilvl="0" w:tplc="D5A8105A">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09357802"/>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D14A16"/>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FA7B02"/>
    <w:multiLevelType w:val="hybridMultilevel"/>
    <w:tmpl w:val="9C2A9262"/>
    <w:lvl w:ilvl="0" w:tplc="94F2B4EE">
      <w:start w:val="1"/>
      <w:numFmt w:val="low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7704E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4"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C106D0"/>
    <w:multiLevelType w:val="hybridMultilevel"/>
    <w:tmpl w:val="7FF8AB7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8E3500"/>
    <w:multiLevelType w:val="hybridMultilevel"/>
    <w:tmpl w:val="E58E315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FFC612A"/>
    <w:multiLevelType w:val="hybridMultilevel"/>
    <w:tmpl w:val="B3AA1C0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226509"/>
    <w:multiLevelType w:val="hybridMultilevel"/>
    <w:tmpl w:val="29C026A4"/>
    <w:lvl w:ilvl="0" w:tplc="042C461E">
      <w:start w:val="1"/>
      <w:numFmt w:val="bullet"/>
      <w:lvlText w:val="-"/>
      <w:lvlJc w:val="left"/>
      <w:pPr>
        <w:ind w:left="1004" w:hanging="360"/>
      </w:pPr>
      <w:rPr>
        <w:rFonts w:ascii="Times New Roman" w:eastAsia="Calibri" w:hAnsi="Times New Roman" w:cs="Times New Roman"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42C461E">
      <w:start w:val="1"/>
      <w:numFmt w:val="bullet"/>
      <w:lvlText w:val="-"/>
      <w:lvlJc w:val="left"/>
      <w:pPr>
        <w:ind w:left="3884" w:hanging="360"/>
      </w:pPr>
      <w:rPr>
        <w:rFonts w:ascii="Times New Roman" w:eastAsia="Calibri" w:hAnsi="Times New Roman" w:cs="Times New Roman"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1"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3"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78E6184"/>
    <w:multiLevelType w:val="hybridMultilevel"/>
    <w:tmpl w:val="8FEA77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D0295C"/>
    <w:multiLevelType w:val="hybridMultilevel"/>
    <w:tmpl w:val="CABC37A2"/>
    <w:lvl w:ilvl="0" w:tplc="41A6D98E">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B4C7283"/>
    <w:multiLevelType w:val="hybridMultilevel"/>
    <w:tmpl w:val="A148EB3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31"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16F67F5"/>
    <w:multiLevelType w:val="hybridMultilevel"/>
    <w:tmpl w:val="CF48A640"/>
    <w:lvl w:ilvl="0" w:tplc="B4989B1A">
      <w:start w:val="1"/>
      <w:numFmt w:val="bullet"/>
      <w:lvlText w:val=""/>
      <w:lvlJc w:val="left"/>
      <w:pPr>
        <w:ind w:left="720" w:hanging="360"/>
      </w:pPr>
      <w:rPr>
        <w:rFonts w:ascii="Symbol" w:hAnsi="Symbol"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740E6C"/>
    <w:multiLevelType w:val="hybridMultilevel"/>
    <w:tmpl w:val="CA00128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4"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3E37DC6"/>
    <w:multiLevelType w:val="hybridMultilevel"/>
    <w:tmpl w:val="4BD46E3C"/>
    <w:lvl w:ilvl="0" w:tplc="D5A8105A">
      <w:start w:val="1"/>
      <w:numFmt w:val="lowerLetter"/>
      <w:lvlText w:val="(%1)"/>
      <w:lvlJc w:val="left"/>
      <w:pPr>
        <w:ind w:left="720" w:hanging="360"/>
      </w:pPr>
      <w:rPr>
        <w:rFonts w:hint="default"/>
      </w:rPr>
    </w:lvl>
    <w:lvl w:ilvl="1" w:tplc="D5A810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8"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42" w15:restartNumberingAfterBreak="0">
    <w:nsid w:val="2E9C541E"/>
    <w:multiLevelType w:val="hybridMultilevel"/>
    <w:tmpl w:val="9166732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2814B06"/>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4CB0646"/>
    <w:multiLevelType w:val="hybridMultilevel"/>
    <w:tmpl w:val="D6D43008"/>
    <w:lvl w:ilvl="0" w:tplc="4A24D532">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9"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90E0D91"/>
    <w:multiLevelType w:val="hybridMultilevel"/>
    <w:tmpl w:val="8B5816FA"/>
    <w:lvl w:ilvl="0" w:tplc="917E386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53"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F403D08"/>
    <w:multiLevelType w:val="hybridMultilevel"/>
    <w:tmpl w:val="65EA2798"/>
    <w:lvl w:ilvl="0" w:tplc="042C461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2B37D53"/>
    <w:multiLevelType w:val="hybridMultilevel"/>
    <w:tmpl w:val="7EC827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36D5F45"/>
    <w:multiLevelType w:val="hybridMultilevel"/>
    <w:tmpl w:val="495CA708"/>
    <w:lvl w:ilvl="0" w:tplc="5D422416">
      <w:start w:val="1"/>
      <w:numFmt w:val="lowerRoman"/>
      <w:suff w:val="space"/>
      <w:lvlText w:val="(%1)"/>
      <w:lvlJc w:val="left"/>
      <w:pPr>
        <w:ind w:left="2290" w:hanging="360"/>
      </w:pPr>
      <w:rPr>
        <w:rFonts w:hint="default"/>
      </w:rPr>
    </w:lvl>
    <w:lvl w:ilvl="1" w:tplc="6D5AB5CA">
      <w:start w:val="1"/>
      <w:numFmt w:val="lowerLetter"/>
      <w:lvlText w:val="(%2)"/>
      <w:lvlJc w:val="left"/>
      <w:pPr>
        <w:ind w:left="2803" w:hanging="720"/>
      </w:pPr>
      <w:rPr>
        <w:rFonts w:hint="default"/>
      </w:r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6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5947D8B"/>
    <w:multiLevelType w:val="hybridMultilevel"/>
    <w:tmpl w:val="2A66F562"/>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5F218C7"/>
    <w:multiLevelType w:val="hybridMultilevel"/>
    <w:tmpl w:val="19BC9C8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46D9402B"/>
    <w:multiLevelType w:val="hybridMultilevel"/>
    <w:tmpl w:val="EABA7AF8"/>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69" w15:restartNumberingAfterBreak="0">
    <w:nsid w:val="46E21EF5"/>
    <w:multiLevelType w:val="hybridMultilevel"/>
    <w:tmpl w:val="03C2750C"/>
    <w:lvl w:ilvl="0" w:tplc="EB721CB4">
      <w:start w:val="1"/>
      <w:numFmt w:val="lowerLetter"/>
      <w:lvlText w:val="(%1)"/>
      <w:lvlJc w:val="left"/>
      <w:pPr>
        <w:ind w:left="108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0"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6"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D494203"/>
    <w:multiLevelType w:val="hybridMultilevel"/>
    <w:tmpl w:val="9670C6FC"/>
    <w:lvl w:ilvl="0" w:tplc="4A24D532">
      <w:start w:val="1"/>
      <w:numFmt w:val="lowerRoman"/>
      <w:lvlText w:val="(%1)"/>
      <w:lvlJc w:val="left"/>
      <w:pPr>
        <w:ind w:left="720" w:hanging="360"/>
      </w:pPr>
      <w:rPr>
        <w:rFonts w:hint="default"/>
      </w:rPr>
    </w:lvl>
    <w:lvl w:ilvl="1" w:tplc="94F2B4E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EA317D2"/>
    <w:multiLevelType w:val="hybridMultilevel"/>
    <w:tmpl w:val="2BEEA7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FBB721A"/>
    <w:multiLevelType w:val="hybridMultilevel"/>
    <w:tmpl w:val="4CC6A3F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81" w15:restartNumberingAfterBreak="0">
    <w:nsid w:val="51B720EA"/>
    <w:multiLevelType w:val="hybridMultilevel"/>
    <w:tmpl w:val="F60E1F8E"/>
    <w:lvl w:ilvl="0" w:tplc="D5A8105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2" w15:restartNumberingAfterBreak="0">
    <w:nsid w:val="527052F0"/>
    <w:multiLevelType w:val="hybridMultilevel"/>
    <w:tmpl w:val="FC40E79E"/>
    <w:lvl w:ilvl="0" w:tplc="56A202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3687FB5"/>
    <w:multiLevelType w:val="multilevel"/>
    <w:tmpl w:val="4F280138"/>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numFmt w:val="bullet"/>
      <w:lvlText w:val="-"/>
      <w:lvlJc w:val="left"/>
      <w:pPr>
        <w:tabs>
          <w:tab w:val="num" w:pos="2160"/>
        </w:tabs>
        <w:ind w:left="2160" w:hanging="360"/>
      </w:pPr>
      <w:rPr>
        <w:rFonts w:hint="default"/>
      </w:r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4" w15:restartNumberingAfterBreak="0">
    <w:nsid w:val="546D2A56"/>
    <w:multiLevelType w:val="hybridMultilevel"/>
    <w:tmpl w:val="CB20026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86" w15:restartNumberingAfterBreak="0">
    <w:nsid w:val="551C6791"/>
    <w:multiLevelType w:val="hybridMultilevel"/>
    <w:tmpl w:val="FA1230A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C475AAD"/>
    <w:multiLevelType w:val="hybridMultilevel"/>
    <w:tmpl w:val="EE9C95E4"/>
    <w:lvl w:ilvl="0" w:tplc="B4A4A62A">
      <w:start w:val="1"/>
      <w:numFmt w:val="lowerLetter"/>
      <w:lvlText w:val="(%1)"/>
      <w:lvlJc w:val="left"/>
      <w:pPr>
        <w:ind w:left="2367" w:hanging="72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94" w15:restartNumberingAfterBreak="0">
    <w:nsid w:val="5E0D5783"/>
    <w:multiLevelType w:val="hybridMultilevel"/>
    <w:tmpl w:val="F7E6D0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07E7A4C"/>
    <w:multiLevelType w:val="hybridMultilevel"/>
    <w:tmpl w:val="279611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141353C"/>
    <w:multiLevelType w:val="hybridMultilevel"/>
    <w:tmpl w:val="E0EE95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44F0663"/>
    <w:multiLevelType w:val="hybridMultilevel"/>
    <w:tmpl w:val="5C06B01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3" w15:restartNumberingAfterBreak="0">
    <w:nsid w:val="64B668D4"/>
    <w:multiLevelType w:val="hybridMultilevel"/>
    <w:tmpl w:val="9B3480C8"/>
    <w:lvl w:ilvl="0" w:tplc="D5A810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4" w15:restartNumberingAfterBreak="0">
    <w:nsid w:val="65442E6E"/>
    <w:multiLevelType w:val="hybridMultilevel"/>
    <w:tmpl w:val="BCF6A04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85F44E24">
      <w:start w:val="2"/>
      <w:numFmt w:val="bullet"/>
      <w:lvlText w:val="-"/>
      <w:lvlJc w:val="left"/>
      <w:pPr>
        <w:ind w:left="5018" w:hanging="360"/>
      </w:pPr>
      <w:rPr>
        <w:rFonts w:ascii="Calibri" w:eastAsia="Calibri" w:hAnsi="Calibri" w:cs="Calibri"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5"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0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0"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8403F7A"/>
    <w:multiLevelType w:val="hybridMultilevel"/>
    <w:tmpl w:val="C56A216E"/>
    <w:lvl w:ilvl="0" w:tplc="0809000B">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12" w15:restartNumberingAfterBreak="0">
    <w:nsid w:val="6960603E"/>
    <w:multiLevelType w:val="hybridMultilevel"/>
    <w:tmpl w:val="D4764A06"/>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9D97F07"/>
    <w:multiLevelType w:val="hybridMultilevel"/>
    <w:tmpl w:val="1A1E51C0"/>
    <w:lvl w:ilvl="0" w:tplc="D5A8105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6A32567A"/>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C6529B2"/>
    <w:multiLevelType w:val="hybridMultilevel"/>
    <w:tmpl w:val="79FA10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DF4089B"/>
    <w:multiLevelType w:val="hybridMultilevel"/>
    <w:tmpl w:val="C680B276"/>
    <w:lvl w:ilvl="0" w:tplc="D5A8105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8"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0"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2295FD6"/>
    <w:multiLevelType w:val="hybridMultilevel"/>
    <w:tmpl w:val="BB62586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125"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3C50C62"/>
    <w:multiLevelType w:val="hybridMultilevel"/>
    <w:tmpl w:val="754C68F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8B34675"/>
    <w:multiLevelType w:val="hybridMultilevel"/>
    <w:tmpl w:val="7542DF12"/>
    <w:lvl w:ilvl="0" w:tplc="1DC67444">
      <w:start w:val="2"/>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1" w15:restartNumberingAfterBreak="0">
    <w:nsid w:val="7A23593A"/>
    <w:multiLevelType w:val="hybridMultilevel"/>
    <w:tmpl w:val="A704D7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EF854CF"/>
    <w:multiLevelType w:val="hybridMultilevel"/>
    <w:tmpl w:val="9B3AADA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FB0689A"/>
    <w:multiLevelType w:val="hybridMultilevel"/>
    <w:tmpl w:val="81CCE9A0"/>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9"/>
  </w:num>
  <w:num w:numId="2">
    <w:abstractNumId w:val="25"/>
  </w:num>
  <w:num w:numId="3">
    <w:abstractNumId w:val="74"/>
  </w:num>
  <w:num w:numId="4">
    <w:abstractNumId w:val="56"/>
  </w:num>
  <w:num w:numId="5">
    <w:abstractNumId w:val="31"/>
  </w:num>
  <w:num w:numId="6">
    <w:abstractNumId w:val="95"/>
  </w:num>
  <w:num w:numId="7">
    <w:abstractNumId w:val="63"/>
  </w:num>
  <w:num w:numId="8">
    <w:abstractNumId w:val="6"/>
  </w:num>
  <w:num w:numId="9">
    <w:abstractNumId w:val="27"/>
  </w:num>
  <w:num w:numId="10">
    <w:abstractNumId w:val="18"/>
  </w:num>
  <w:num w:numId="11">
    <w:abstractNumId w:val="7"/>
  </w:num>
  <w:num w:numId="12">
    <w:abstractNumId w:val="79"/>
  </w:num>
  <w:num w:numId="13">
    <w:abstractNumId w:val="98"/>
  </w:num>
  <w:num w:numId="14">
    <w:abstractNumId w:val="86"/>
  </w:num>
  <w:num w:numId="15">
    <w:abstractNumId w:val="26"/>
  </w:num>
  <w:num w:numId="16">
    <w:abstractNumId w:val="9"/>
  </w:num>
  <w:num w:numId="17">
    <w:abstractNumId w:val="10"/>
  </w:num>
  <w:num w:numId="18">
    <w:abstractNumId w:val="82"/>
  </w:num>
  <w:num w:numId="19">
    <w:abstractNumId w:val="132"/>
  </w:num>
  <w:num w:numId="20">
    <w:abstractNumId w:val="48"/>
  </w:num>
  <w:num w:numId="21">
    <w:abstractNumId w:val="42"/>
  </w:num>
  <w:num w:numId="22">
    <w:abstractNumId w:val="17"/>
  </w:num>
  <w:num w:numId="23">
    <w:abstractNumId w:val="50"/>
  </w:num>
  <w:num w:numId="24">
    <w:abstractNumId w:val="125"/>
  </w:num>
  <w:num w:numId="25">
    <w:abstractNumId w:val="70"/>
  </w:num>
  <w:num w:numId="26">
    <w:abstractNumId w:val="44"/>
  </w:num>
  <w:num w:numId="27">
    <w:abstractNumId w:val="85"/>
  </w:num>
  <w:num w:numId="28">
    <w:abstractNumId w:val="52"/>
  </w:num>
  <w:num w:numId="29">
    <w:abstractNumId w:val="41"/>
  </w:num>
  <w:num w:numId="30">
    <w:abstractNumId w:val="24"/>
  </w:num>
  <w:num w:numId="31">
    <w:abstractNumId w:val="22"/>
  </w:num>
  <w:num w:numId="32">
    <w:abstractNumId w:val="109"/>
  </w:num>
  <w:num w:numId="33">
    <w:abstractNumId w:val="108"/>
  </w:num>
  <w:num w:numId="34">
    <w:abstractNumId w:val="119"/>
  </w:num>
  <w:num w:numId="35">
    <w:abstractNumId w:val="37"/>
  </w:num>
  <w:num w:numId="36">
    <w:abstractNumId w:val="58"/>
  </w:num>
  <w:num w:numId="37">
    <w:abstractNumId w:val="67"/>
  </w:num>
  <w:num w:numId="38">
    <w:abstractNumId w:val="64"/>
  </w:num>
  <w:num w:numId="39">
    <w:abstractNumId w:val="4"/>
  </w:num>
  <w:num w:numId="40">
    <w:abstractNumId w:val="73"/>
  </w:num>
  <w:num w:numId="41">
    <w:abstractNumId w:val="131"/>
  </w:num>
  <w:num w:numId="42">
    <w:abstractNumId w:val="83"/>
  </w:num>
  <w:num w:numId="43">
    <w:abstractNumId w:val="91"/>
  </w:num>
  <w:num w:numId="44">
    <w:abstractNumId w:val="115"/>
  </w:num>
  <w:num w:numId="45">
    <w:abstractNumId w:val="84"/>
  </w:num>
  <w:num w:numId="46">
    <w:abstractNumId w:val="99"/>
  </w:num>
  <w:num w:numId="47">
    <w:abstractNumId w:val="14"/>
  </w:num>
  <w:num w:numId="48">
    <w:abstractNumId w:val="81"/>
  </w:num>
  <w:num w:numId="49">
    <w:abstractNumId w:val="127"/>
  </w:num>
  <w:num w:numId="50">
    <w:abstractNumId w:val="118"/>
  </w:num>
  <w:num w:numId="51">
    <w:abstractNumId w:val="54"/>
  </w:num>
  <w:num w:numId="52">
    <w:abstractNumId w:val="75"/>
  </w:num>
  <w:num w:numId="53">
    <w:abstractNumId w:val="8"/>
  </w:num>
  <w:num w:numId="54">
    <w:abstractNumId w:val="129"/>
  </w:num>
  <w:num w:numId="55">
    <w:abstractNumId w:val="88"/>
  </w:num>
  <w:num w:numId="56">
    <w:abstractNumId w:val="89"/>
  </w:num>
  <w:num w:numId="57">
    <w:abstractNumId w:val="55"/>
  </w:num>
  <w:num w:numId="58">
    <w:abstractNumId w:val="28"/>
  </w:num>
  <w:num w:numId="59">
    <w:abstractNumId w:val="23"/>
  </w:num>
  <w:num w:numId="60">
    <w:abstractNumId w:val="107"/>
  </w:num>
  <w:num w:numId="61">
    <w:abstractNumId w:val="123"/>
  </w:num>
  <w:num w:numId="62">
    <w:abstractNumId w:val="34"/>
  </w:num>
  <w:num w:numId="63">
    <w:abstractNumId w:val="96"/>
  </w:num>
  <w:num w:numId="64">
    <w:abstractNumId w:val="97"/>
  </w:num>
  <w:num w:numId="65">
    <w:abstractNumId w:val="134"/>
  </w:num>
  <w:num w:numId="66">
    <w:abstractNumId w:val="121"/>
  </w:num>
  <w:num w:numId="67">
    <w:abstractNumId w:val="60"/>
  </w:num>
  <w:num w:numId="68">
    <w:abstractNumId w:val="126"/>
  </w:num>
  <w:num w:numId="69">
    <w:abstractNumId w:val="2"/>
  </w:num>
  <w:num w:numId="70">
    <w:abstractNumId w:val="49"/>
  </w:num>
  <w:num w:numId="71">
    <w:abstractNumId w:val="110"/>
  </w:num>
  <w:num w:numId="72">
    <w:abstractNumId w:val="101"/>
  </w:num>
  <w:num w:numId="73">
    <w:abstractNumId w:val="43"/>
  </w:num>
  <w:num w:numId="74">
    <w:abstractNumId w:val="72"/>
  </w:num>
  <w:num w:numId="75">
    <w:abstractNumId w:val="105"/>
  </w:num>
  <w:num w:numId="76">
    <w:abstractNumId w:val="76"/>
  </w:num>
  <w:num w:numId="77">
    <w:abstractNumId w:val="116"/>
  </w:num>
  <w:num w:numId="78">
    <w:abstractNumId w:val="21"/>
  </w:num>
  <w:num w:numId="79">
    <w:abstractNumId w:val="19"/>
  </w:num>
  <w:num w:numId="80">
    <w:abstractNumId w:val="59"/>
  </w:num>
  <w:num w:numId="81">
    <w:abstractNumId w:val="1"/>
  </w:num>
  <w:num w:numId="82">
    <w:abstractNumId w:val="100"/>
  </w:num>
  <w:num w:numId="83">
    <w:abstractNumId w:val="0"/>
  </w:num>
  <w:num w:numId="84">
    <w:abstractNumId w:val="45"/>
  </w:num>
  <w:num w:numId="85">
    <w:abstractNumId w:val="87"/>
  </w:num>
  <w:num w:numId="86">
    <w:abstractNumId w:val="92"/>
  </w:num>
  <w:num w:numId="87">
    <w:abstractNumId w:val="90"/>
  </w:num>
  <w:num w:numId="88">
    <w:abstractNumId w:val="113"/>
  </w:num>
  <w:num w:numId="89">
    <w:abstractNumId w:val="61"/>
  </w:num>
  <w:num w:numId="90">
    <w:abstractNumId w:val="5"/>
  </w:num>
  <w:num w:numId="91">
    <w:abstractNumId w:val="103"/>
  </w:num>
  <w:num w:numId="92">
    <w:abstractNumId w:val="114"/>
  </w:num>
  <w:num w:numId="93">
    <w:abstractNumId w:val="94"/>
  </w:num>
  <w:num w:numId="94">
    <w:abstractNumId w:val="15"/>
  </w:num>
  <w:num w:numId="95">
    <w:abstractNumId w:val="71"/>
  </w:num>
  <w:num w:numId="96">
    <w:abstractNumId w:val="53"/>
  </w:num>
  <w:num w:numId="97">
    <w:abstractNumId w:val="39"/>
  </w:num>
  <w:num w:numId="98">
    <w:abstractNumId w:val="122"/>
  </w:num>
  <w:num w:numId="99">
    <w:abstractNumId w:val="40"/>
  </w:num>
  <w:num w:numId="100">
    <w:abstractNumId w:val="120"/>
  </w:num>
  <w:num w:numId="101">
    <w:abstractNumId w:val="29"/>
  </w:num>
  <w:num w:numId="102">
    <w:abstractNumId w:val="133"/>
  </w:num>
  <w:num w:numId="103">
    <w:abstractNumId w:val="128"/>
  </w:num>
  <w:num w:numId="104">
    <w:abstractNumId w:val="106"/>
  </w:num>
  <w:num w:numId="105">
    <w:abstractNumId w:val="16"/>
  </w:num>
  <w:num w:numId="106">
    <w:abstractNumId w:val="35"/>
  </w:num>
  <w:num w:numId="107">
    <w:abstractNumId w:val="12"/>
  </w:num>
  <w:num w:numId="108">
    <w:abstractNumId w:val="38"/>
  </w:num>
  <w:num w:numId="109">
    <w:abstractNumId w:val="47"/>
  </w:num>
  <w:num w:numId="110">
    <w:abstractNumId w:val="57"/>
  </w:num>
  <w:num w:numId="111">
    <w:abstractNumId w:val="32"/>
  </w:num>
  <w:num w:numId="112">
    <w:abstractNumId w:val="51"/>
  </w:num>
  <w:num w:numId="113">
    <w:abstractNumId w:val="36"/>
  </w:num>
  <w:num w:numId="114">
    <w:abstractNumId w:val="65"/>
  </w:num>
  <w:num w:numId="115">
    <w:abstractNumId w:val="112"/>
  </w:num>
  <w:num w:numId="116">
    <w:abstractNumId w:val="80"/>
  </w:num>
  <w:num w:numId="117">
    <w:abstractNumId w:val="33"/>
  </w:num>
  <w:num w:numId="118">
    <w:abstractNumId w:val="111"/>
  </w:num>
  <w:num w:numId="119">
    <w:abstractNumId w:val="13"/>
  </w:num>
  <w:num w:numId="120">
    <w:abstractNumId w:val="78"/>
  </w:num>
  <w:num w:numId="121">
    <w:abstractNumId w:val="62"/>
  </w:num>
  <w:num w:numId="122">
    <w:abstractNumId w:val="102"/>
  </w:num>
  <w:num w:numId="123">
    <w:abstractNumId w:val="104"/>
  </w:num>
  <w:num w:numId="124">
    <w:abstractNumId w:val="68"/>
  </w:num>
  <w:num w:numId="125">
    <w:abstractNumId w:val="30"/>
  </w:num>
  <w:num w:numId="126">
    <w:abstractNumId w:val="124"/>
  </w:num>
  <w:num w:numId="127">
    <w:abstractNumId w:val="11"/>
  </w:num>
  <w:num w:numId="128">
    <w:abstractNumId w:val="3"/>
  </w:num>
  <w:num w:numId="129">
    <w:abstractNumId w:val="77"/>
  </w:num>
  <w:num w:numId="130">
    <w:abstractNumId w:val="93"/>
  </w:num>
  <w:num w:numId="131">
    <w:abstractNumId w:val="46"/>
  </w:num>
  <w:num w:numId="132">
    <w:abstractNumId w:val="130"/>
  </w:num>
  <w:num w:numId="133">
    <w:abstractNumId w:val="20"/>
  </w:num>
  <w:num w:numId="134">
    <w:abstractNumId w:val="66"/>
  </w:num>
  <w:num w:numId="135">
    <w:abstractNumId w:val="11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533DC"/>
    <w:rsid w:val="00000103"/>
    <w:rsid w:val="0000024E"/>
    <w:rsid w:val="00001754"/>
    <w:rsid w:val="00001C72"/>
    <w:rsid w:val="00001CBF"/>
    <w:rsid w:val="00001DB1"/>
    <w:rsid w:val="00001EBB"/>
    <w:rsid w:val="00001F51"/>
    <w:rsid w:val="000023D6"/>
    <w:rsid w:val="0000249A"/>
    <w:rsid w:val="0000268C"/>
    <w:rsid w:val="00002DDC"/>
    <w:rsid w:val="00003C3A"/>
    <w:rsid w:val="0000561F"/>
    <w:rsid w:val="0000589A"/>
    <w:rsid w:val="00005A41"/>
    <w:rsid w:val="00005E15"/>
    <w:rsid w:val="00010370"/>
    <w:rsid w:val="000117D2"/>
    <w:rsid w:val="0001197C"/>
    <w:rsid w:val="00012022"/>
    <w:rsid w:val="0001231E"/>
    <w:rsid w:val="00013776"/>
    <w:rsid w:val="00014311"/>
    <w:rsid w:val="000162C4"/>
    <w:rsid w:val="0002325E"/>
    <w:rsid w:val="000243AE"/>
    <w:rsid w:val="00024E2F"/>
    <w:rsid w:val="00025ECC"/>
    <w:rsid w:val="000261C5"/>
    <w:rsid w:val="00026A12"/>
    <w:rsid w:val="00030FCD"/>
    <w:rsid w:val="0003191D"/>
    <w:rsid w:val="00031DEB"/>
    <w:rsid w:val="0003387A"/>
    <w:rsid w:val="0003551E"/>
    <w:rsid w:val="000369AA"/>
    <w:rsid w:val="00036AD4"/>
    <w:rsid w:val="000379B4"/>
    <w:rsid w:val="0004019E"/>
    <w:rsid w:val="000422BA"/>
    <w:rsid w:val="00042735"/>
    <w:rsid w:val="0004325C"/>
    <w:rsid w:val="000436BC"/>
    <w:rsid w:val="00044204"/>
    <w:rsid w:val="00044431"/>
    <w:rsid w:val="000450C8"/>
    <w:rsid w:val="00045EA1"/>
    <w:rsid w:val="000465B2"/>
    <w:rsid w:val="00046F35"/>
    <w:rsid w:val="000476F2"/>
    <w:rsid w:val="00050051"/>
    <w:rsid w:val="000500BF"/>
    <w:rsid w:val="00050E19"/>
    <w:rsid w:val="00050E8C"/>
    <w:rsid w:val="00051444"/>
    <w:rsid w:val="00052C71"/>
    <w:rsid w:val="000531F4"/>
    <w:rsid w:val="0005386D"/>
    <w:rsid w:val="00054264"/>
    <w:rsid w:val="0005682C"/>
    <w:rsid w:val="00057E9F"/>
    <w:rsid w:val="00057F59"/>
    <w:rsid w:val="000605E3"/>
    <w:rsid w:val="00062B03"/>
    <w:rsid w:val="00063585"/>
    <w:rsid w:val="000637B3"/>
    <w:rsid w:val="00063DF8"/>
    <w:rsid w:val="00065969"/>
    <w:rsid w:val="000659F7"/>
    <w:rsid w:val="00065B43"/>
    <w:rsid w:val="00065C67"/>
    <w:rsid w:val="00066BBE"/>
    <w:rsid w:val="00066E6D"/>
    <w:rsid w:val="000673D5"/>
    <w:rsid w:val="00067BFE"/>
    <w:rsid w:val="00070876"/>
    <w:rsid w:val="00070ECF"/>
    <w:rsid w:val="00072E16"/>
    <w:rsid w:val="00072EAB"/>
    <w:rsid w:val="00074397"/>
    <w:rsid w:val="00074604"/>
    <w:rsid w:val="00075026"/>
    <w:rsid w:val="000756ED"/>
    <w:rsid w:val="00075CF5"/>
    <w:rsid w:val="00075D36"/>
    <w:rsid w:val="00075FAE"/>
    <w:rsid w:val="000761D0"/>
    <w:rsid w:val="00076B96"/>
    <w:rsid w:val="00077630"/>
    <w:rsid w:val="00077F4C"/>
    <w:rsid w:val="0008222E"/>
    <w:rsid w:val="0008316D"/>
    <w:rsid w:val="000836E8"/>
    <w:rsid w:val="00083F34"/>
    <w:rsid w:val="00084813"/>
    <w:rsid w:val="00086B2C"/>
    <w:rsid w:val="00086B56"/>
    <w:rsid w:val="00090CA0"/>
    <w:rsid w:val="000924CA"/>
    <w:rsid w:val="00092A99"/>
    <w:rsid w:val="00092EAB"/>
    <w:rsid w:val="0009739B"/>
    <w:rsid w:val="00097866"/>
    <w:rsid w:val="00097EA8"/>
    <w:rsid w:val="000A195F"/>
    <w:rsid w:val="000A19A2"/>
    <w:rsid w:val="000A1EA8"/>
    <w:rsid w:val="000A22EB"/>
    <w:rsid w:val="000A2830"/>
    <w:rsid w:val="000A33E1"/>
    <w:rsid w:val="000A35E9"/>
    <w:rsid w:val="000A3A77"/>
    <w:rsid w:val="000A4A0B"/>
    <w:rsid w:val="000A5F13"/>
    <w:rsid w:val="000A6AAB"/>
    <w:rsid w:val="000A7858"/>
    <w:rsid w:val="000B021D"/>
    <w:rsid w:val="000B1FE3"/>
    <w:rsid w:val="000B24E9"/>
    <w:rsid w:val="000B33AF"/>
    <w:rsid w:val="000B3983"/>
    <w:rsid w:val="000B4B8B"/>
    <w:rsid w:val="000B4D0E"/>
    <w:rsid w:val="000B4ECE"/>
    <w:rsid w:val="000B535F"/>
    <w:rsid w:val="000B539E"/>
    <w:rsid w:val="000B548B"/>
    <w:rsid w:val="000B5630"/>
    <w:rsid w:val="000B6180"/>
    <w:rsid w:val="000B6A07"/>
    <w:rsid w:val="000B787A"/>
    <w:rsid w:val="000C0E3B"/>
    <w:rsid w:val="000C1821"/>
    <w:rsid w:val="000C31D9"/>
    <w:rsid w:val="000C33F2"/>
    <w:rsid w:val="000C34C6"/>
    <w:rsid w:val="000C362C"/>
    <w:rsid w:val="000C44E8"/>
    <w:rsid w:val="000C509D"/>
    <w:rsid w:val="000C5CE7"/>
    <w:rsid w:val="000C5F55"/>
    <w:rsid w:val="000C70E2"/>
    <w:rsid w:val="000D00AC"/>
    <w:rsid w:val="000D08F0"/>
    <w:rsid w:val="000D2417"/>
    <w:rsid w:val="000D2CF9"/>
    <w:rsid w:val="000D3143"/>
    <w:rsid w:val="000D3619"/>
    <w:rsid w:val="000D3F9E"/>
    <w:rsid w:val="000D4CFC"/>
    <w:rsid w:val="000D504C"/>
    <w:rsid w:val="000D5AAD"/>
    <w:rsid w:val="000D5ADB"/>
    <w:rsid w:val="000D683B"/>
    <w:rsid w:val="000D6F84"/>
    <w:rsid w:val="000D73CE"/>
    <w:rsid w:val="000D7BA5"/>
    <w:rsid w:val="000E0ACE"/>
    <w:rsid w:val="000E0F36"/>
    <w:rsid w:val="000E150A"/>
    <w:rsid w:val="000E1BBA"/>
    <w:rsid w:val="000E1BF5"/>
    <w:rsid w:val="000E34C3"/>
    <w:rsid w:val="000E39BE"/>
    <w:rsid w:val="000E3E6A"/>
    <w:rsid w:val="000E4271"/>
    <w:rsid w:val="000E5697"/>
    <w:rsid w:val="000E7521"/>
    <w:rsid w:val="000E7C61"/>
    <w:rsid w:val="000F2766"/>
    <w:rsid w:val="000F2BC1"/>
    <w:rsid w:val="000F41B3"/>
    <w:rsid w:val="000F57EC"/>
    <w:rsid w:val="000F63F5"/>
    <w:rsid w:val="000F69DD"/>
    <w:rsid w:val="000F6B3A"/>
    <w:rsid w:val="000F6F09"/>
    <w:rsid w:val="000F7E02"/>
    <w:rsid w:val="000F7FA6"/>
    <w:rsid w:val="00100CD5"/>
    <w:rsid w:val="0010126E"/>
    <w:rsid w:val="001034F6"/>
    <w:rsid w:val="00103861"/>
    <w:rsid w:val="00103C71"/>
    <w:rsid w:val="0010424A"/>
    <w:rsid w:val="00104DE0"/>
    <w:rsid w:val="00104F3E"/>
    <w:rsid w:val="00106041"/>
    <w:rsid w:val="00106864"/>
    <w:rsid w:val="00106EE8"/>
    <w:rsid w:val="00107442"/>
    <w:rsid w:val="00107476"/>
    <w:rsid w:val="00107BB6"/>
    <w:rsid w:val="001107A1"/>
    <w:rsid w:val="0011175B"/>
    <w:rsid w:val="001121CF"/>
    <w:rsid w:val="0011307E"/>
    <w:rsid w:val="00113441"/>
    <w:rsid w:val="0011535C"/>
    <w:rsid w:val="00116F43"/>
    <w:rsid w:val="0011721D"/>
    <w:rsid w:val="00117B62"/>
    <w:rsid w:val="00120C3D"/>
    <w:rsid w:val="00120E5D"/>
    <w:rsid w:val="00121544"/>
    <w:rsid w:val="00122334"/>
    <w:rsid w:val="00122727"/>
    <w:rsid w:val="00123684"/>
    <w:rsid w:val="0012373C"/>
    <w:rsid w:val="00123F39"/>
    <w:rsid w:val="0012446C"/>
    <w:rsid w:val="00124761"/>
    <w:rsid w:val="00126353"/>
    <w:rsid w:val="001273EB"/>
    <w:rsid w:val="00127521"/>
    <w:rsid w:val="00130EBB"/>
    <w:rsid w:val="001329B1"/>
    <w:rsid w:val="00132A94"/>
    <w:rsid w:val="0013424F"/>
    <w:rsid w:val="00134E0D"/>
    <w:rsid w:val="00135964"/>
    <w:rsid w:val="00136171"/>
    <w:rsid w:val="0013629F"/>
    <w:rsid w:val="00136580"/>
    <w:rsid w:val="00136A19"/>
    <w:rsid w:val="00137585"/>
    <w:rsid w:val="00137F82"/>
    <w:rsid w:val="001402DF"/>
    <w:rsid w:val="0014112C"/>
    <w:rsid w:val="001413A9"/>
    <w:rsid w:val="00141B4D"/>
    <w:rsid w:val="001439D6"/>
    <w:rsid w:val="00143E4B"/>
    <w:rsid w:val="00143E57"/>
    <w:rsid w:val="001442AD"/>
    <w:rsid w:val="00144E0F"/>
    <w:rsid w:val="0014665B"/>
    <w:rsid w:val="00150D85"/>
    <w:rsid w:val="00150F27"/>
    <w:rsid w:val="00150F9D"/>
    <w:rsid w:val="00151027"/>
    <w:rsid w:val="00151284"/>
    <w:rsid w:val="00151329"/>
    <w:rsid w:val="00151481"/>
    <w:rsid w:val="00151D38"/>
    <w:rsid w:val="00151EFA"/>
    <w:rsid w:val="00153023"/>
    <w:rsid w:val="00153222"/>
    <w:rsid w:val="00153BF9"/>
    <w:rsid w:val="00153E99"/>
    <w:rsid w:val="00154416"/>
    <w:rsid w:val="00155586"/>
    <w:rsid w:val="0015685D"/>
    <w:rsid w:val="00156917"/>
    <w:rsid w:val="00156CFD"/>
    <w:rsid w:val="00161144"/>
    <w:rsid w:val="0016308E"/>
    <w:rsid w:val="001637DC"/>
    <w:rsid w:val="0016381C"/>
    <w:rsid w:val="00163D40"/>
    <w:rsid w:val="00164854"/>
    <w:rsid w:val="001649D6"/>
    <w:rsid w:val="001653B3"/>
    <w:rsid w:val="00166140"/>
    <w:rsid w:val="001677F4"/>
    <w:rsid w:val="00167CBE"/>
    <w:rsid w:val="00171637"/>
    <w:rsid w:val="001721CC"/>
    <w:rsid w:val="001724B9"/>
    <w:rsid w:val="00172665"/>
    <w:rsid w:val="00172E50"/>
    <w:rsid w:val="0017337D"/>
    <w:rsid w:val="00173591"/>
    <w:rsid w:val="00174C7F"/>
    <w:rsid w:val="00174F1D"/>
    <w:rsid w:val="00177022"/>
    <w:rsid w:val="00177773"/>
    <w:rsid w:val="001779AE"/>
    <w:rsid w:val="00177A95"/>
    <w:rsid w:val="00180212"/>
    <w:rsid w:val="00181A5F"/>
    <w:rsid w:val="00181FAF"/>
    <w:rsid w:val="00183AE0"/>
    <w:rsid w:val="00184314"/>
    <w:rsid w:val="0018463F"/>
    <w:rsid w:val="00184F7D"/>
    <w:rsid w:val="00185746"/>
    <w:rsid w:val="00185A8A"/>
    <w:rsid w:val="0018675A"/>
    <w:rsid w:val="00186E29"/>
    <w:rsid w:val="00187CB6"/>
    <w:rsid w:val="00190B8C"/>
    <w:rsid w:val="00190CFC"/>
    <w:rsid w:val="0019101F"/>
    <w:rsid w:val="001914A5"/>
    <w:rsid w:val="00191DC1"/>
    <w:rsid w:val="00192A0B"/>
    <w:rsid w:val="00192D0E"/>
    <w:rsid w:val="00192D0F"/>
    <w:rsid w:val="00192FF0"/>
    <w:rsid w:val="001939E2"/>
    <w:rsid w:val="001940B4"/>
    <w:rsid w:val="00194531"/>
    <w:rsid w:val="00195960"/>
    <w:rsid w:val="001962B7"/>
    <w:rsid w:val="00196313"/>
    <w:rsid w:val="00196BA8"/>
    <w:rsid w:val="001975E3"/>
    <w:rsid w:val="00197BF3"/>
    <w:rsid w:val="001A04C2"/>
    <w:rsid w:val="001A0538"/>
    <w:rsid w:val="001A0864"/>
    <w:rsid w:val="001A11D4"/>
    <w:rsid w:val="001A2168"/>
    <w:rsid w:val="001A4F7E"/>
    <w:rsid w:val="001A51F3"/>
    <w:rsid w:val="001A55C4"/>
    <w:rsid w:val="001A6349"/>
    <w:rsid w:val="001A6F62"/>
    <w:rsid w:val="001A72BB"/>
    <w:rsid w:val="001A7EEF"/>
    <w:rsid w:val="001B17FA"/>
    <w:rsid w:val="001B1C7E"/>
    <w:rsid w:val="001B3D09"/>
    <w:rsid w:val="001B449F"/>
    <w:rsid w:val="001B48C5"/>
    <w:rsid w:val="001B48FA"/>
    <w:rsid w:val="001B4992"/>
    <w:rsid w:val="001B5292"/>
    <w:rsid w:val="001B552D"/>
    <w:rsid w:val="001B5E92"/>
    <w:rsid w:val="001B65BC"/>
    <w:rsid w:val="001B706F"/>
    <w:rsid w:val="001B73D8"/>
    <w:rsid w:val="001B79E4"/>
    <w:rsid w:val="001C00C4"/>
    <w:rsid w:val="001C09CC"/>
    <w:rsid w:val="001C0D52"/>
    <w:rsid w:val="001C1DB0"/>
    <w:rsid w:val="001C2768"/>
    <w:rsid w:val="001C296B"/>
    <w:rsid w:val="001C2B47"/>
    <w:rsid w:val="001C4831"/>
    <w:rsid w:val="001C4C67"/>
    <w:rsid w:val="001C6407"/>
    <w:rsid w:val="001C66DC"/>
    <w:rsid w:val="001C6ECB"/>
    <w:rsid w:val="001D02BA"/>
    <w:rsid w:val="001D032E"/>
    <w:rsid w:val="001D04CA"/>
    <w:rsid w:val="001D07AC"/>
    <w:rsid w:val="001D09A6"/>
    <w:rsid w:val="001D1E49"/>
    <w:rsid w:val="001D3278"/>
    <w:rsid w:val="001D46E5"/>
    <w:rsid w:val="001D4F9D"/>
    <w:rsid w:val="001D5342"/>
    <w:rsid w:val="001D6139"/>
    <w:rsid w:val="001D63E6"/>
    <w:rsid w:val="001D7DCE"/>
    <w:rsid w:val="001D7FFB"/>
    <w:rsid w:val="001E0062"/>
    <w:rsid w:val="001E0229"/>
    <w:rsid w:val="001E0847"/>
    <w:rsid w:val="001E0FEC"/>
    <w:rsid w:val="001E3714"/>
    <w:rsid w:val="001E40EC"/>
    <w:rsid w:val="001E428A"/>
    <w:rsid w:val="001E431F"/>
    <w:rsid w:val="001E492B"/>
    <w:rsid w:val="001E5358"/>
    <w:rsid w:val="001E53B1"/>
    <w:rsid w:val="001E5C58"/>
    <w:rsid w:val="001F0012"/>
    <w:rsid w:val="001F1007"/>
    <w:rsid w:val="001F17E5"/>
    <w:rsid w:val="001F27EE"/>
    <w:rsid w:val="001F53B1"/>
    <w:rsid w:val="001F5E01"/>
    <w:rsid w:val="001F6F52"/>
    <w:rsid w:val="00200A42"/>
    <w:rsid w:val="0020361A"/>
    <w:rsid w:val="00203E73"/>
    <w:rsid w:val="00203E86"/>
    <w:rsid w:val="00203FAD"/>
    <w:rsid w:val="00204535"/>
    <w:rsid w:val="0020508B"/>
    <w:rsid w:val="00205981"/>
    <w:rsid w:val="00205A21"/>
    <w:rsid w:val="00205D5B"/>
    <w:rsid w:val="00206A8F"/>
    <w:rsid w:val="00207A34"/>
    <w:rsid w:val="00207B67"/>
    <w:rsid w:val="00207D9D"/>
    <w:rsid w:val="00210793"/>
    <w:rsid w:val="00210EFD"/>
    <w:rsid w:val="0021116A"/>
    <w:rsid w:val="0021175D"/>
    <w:rsid w:val="00211D69"/>
    <w:rsid w:val="00213387"/>
    <w:rsid w:val="0021795A"/>
    <w:rsid w:val="00217E6D"/>
    <w:rsid w:val="002205C4"/>
    <w:rsid w:val="0022084E"/>
    <w:rsid w:val="002209DC"/>
    <w:rsid w:val="00220BB3"/>
    <w:rsid w:val="0022151A"/>
    <w:rsid w:val="002223E7"/>
    <w:rsid w:val="002233BA"/>
    <w:rsid w:val="0022400D"/>
    <w:rsid w:val="0022411C"/>
    <w:rsid w:val="00224D09"/>
    <w:rsid w:val="00225090"/>
    <w:rsid w:val="0022534F"/>
    <w:rsid w:val="00225899"/>
    <w:rsid w:val="00225DD5"/>
    <w:rsid w:val="00226EB0"/>
    <w:rsid w:val="00227473"/>
    <w:rsid w:val="00227A82"/>
    <w:rsid w:val="00231222"/>
    <w:rsid w:val="00231905"/>
    <w:rsid w:val="0023214F"/>
    <w:rsid w:val="00232BA1"/>
    <w:rsid w:val="002330FB"/>
    <w:rsid w:val="002331A4"/>
    <w:rsid w:val="00233981"/>
    <w:rsid w:val="00233BB3"/>
    <w:rsid w:val="00234791"/>
    <w:rsid w:val="00234BB6"/>
    <w:rsid w:val="0023509C"/>
    <w:rsid w:val="00235AC6"/>
    <w:rsid w:val="0023658F"/>
    <w:rsid w:val="00236B8C"/>
    <w:rsid w:val="00236C46"/>
    <w:rsid w:val="0024017F"/>
    <w:rsid w:val="0024076B"/>
    <w:rsid w:val="002416EC"/>
    <w:rsid w:val="0024211B"/>
    <w:rsid w:val="00242651"/>
    <w:rsid w:val="00242BD8"/>
    <w:rsid w:val="002441DE"/>
    <w:rsid w:val="00244321"/>
    <w:rsid w:val="00244498"/>
    <w:rsid w:val="00244B07"/>
    <w:rsid w:val="00245797"/>
    <w:rsid w:val="002459B6"/>
    <w:rsid w:val="00245C63"/>
    <w:rsid w:val="002462E1"/>
    <w:rsid w:val="00247742"/>
    <w:rsid w:val="00247FE7"/>
    <w:rsid w:val="002508A0"/>
    <w:rsid w:val="00250BF0"/>
    <w:rsid w:val="00250C00"/>
    <w:rsid w:val="00250E41"/>
    <w:rsid w:val="002530BA"/>
    <w:rsid w:val="002531BC"/>
    <w:rsid w:val="0025328A"/>
    <w:rsid w:val="00253797"/>
    <w:rsid w:val="0025523E"/>
    <w:rsid w:val="002553FA"/>
    <w:rsid w:val="002557F5"/>
    <w:rsid w:val="002573D0"/>
    <w:rsid w:val="002606EB"/>
    <w:rsid w:val="0026318A"/>
    <w:rsid w:val="002632BC"/>
    <w:rsid w:val="00263ACE"/>
    <w:rsid w:val="00263D16"/>
    <w:rsid w:val="00265021"/>
    <w:rsid w:val="00265185"/>
    <w:rsid w:val="002653C4"/>
    <w:rsid w:val="00265A1D"/>
    <w:rsid w:val="0026615C"/>
    <w:rsid w:val="0026643D"/>
    <w:rsid w:val="00266B38"/>
    <w:rsid w:val="00267674"/>
    <w:rsid w:val="00267B54"/>
    <w:rsid w:val="00270AAB"/>
    <w:rsid w:val="00270BFE"/>
    <w:rsid w:val="002729BB"/>
    <w:rsid w:val="00273B1B"/>
    <w:rsid w:val="002740D1"/>
    <w:rsid w:val="002746AE"/>
    <w:rsid w:val="00274A46"/>
    <w:rsid w:val="002751E6"/>
    <w:rsid w:val="0027632C"/>
    <w:rsid w:val="00276AA4"/>
    <w:rsid w:val="00276BB0"/>
    <w:rsid w:val="00277C5A"/>
    <w:rsid w:val="00280365"/>
    <w:rsid w:val="00280CCF"/>
    <w:rsid w:val="00280CEF"/>
    <w:rsid w:val="00282F84"/>
    <w:rsid w:val="00283339"/>
    <w:rsid w:val="002839E1"/>
    <w:rsid w:val="00283D7E"/>
    <w:rsid w:val="00284203"/>
    <w:rsid w:val="00284299"/>
    <w:rsid w:val="00284CEF"/>
    <w:rsid w:val="00286046"/>
    <w:rsid w:val="00286315"/>
    <w:rsid w:val="002872C0"/>
    <w:rsid w:val="00287936"/>
    <w:rsid w:val="00287A10"/>
    <w:rsid w:val="00287B14"/>
    <w:rsid w:val="00290369"/>
    <w:rsid w:val="0029059C"/>
    <w:rsid w:val="00290AFC"/>
    <w:rsid w:val="00290C39"/>
    <w:rsid w:val="00291A22"/>
    <w:rsid w:val="00291C41"/>
    <w:rsid w:val="00291E5D"/>
    <w:rsid w:val="00293A82"/>
    <w:rsid w:val="00294A96"/>
    <w:rsid w:val="00294E9E"/>
    <w:rsid w:val="002961FA"/>
    <w:rsid w:val="002967A1"/>
    <w:rsid w:val="002970EA"/>
    <w:rsid w:val="00297275"/>
    <w:rsid w:val="00297ACB"/>
    <w:rsid w:val="002A13B5"/>
    <w:rsid w:val="002A1ABB"/>
    <w:rsid w:val="002A2DA6"/>
    <w:rsid w:val="002A3E40"/>
    <w:rsid w:val="002A40BC"/>
    <w:rsid w:val="002A44C4"/>
    <w:rsid w:val="002A4B70"/>
    <w:rsid w:val="002A4DDA"/>
    <w:rsid w:val="002A53B9"/>
    <w:rsid w:val="002A5C93"/>
    <w:rsid w:val="002A60D1"/>
    <w:rsid w:val="002A6AA1"/>
    <w:rsid w:val="002A78A0"/>
    <w:rsid w:val="002B0D67"/>
    <w:rsid w:val="002B16BA"/>
    <w:rsid w:val="002B1E3E"/>
    <w:rsid w:val="002B1EEA"/>
    <w:rsid w:val="002B264E"/>
    <w:rsid w:val="002B2EE5"/>
    <w:rsid w:val="002B3CDA"/>
    <w:rsid w:val="002B4D3D"/>
    <w:rsid w:val="002B5FFA"/>
    <w:rsid w:val="002B64C9"/>
    <w:rsid w:val="002B70AD"/>
    <w:rsid w:val="002B78EC"/>
    <w:rsid w:val="002C022D"/>
    <w:rsid w:val="002C261A"/>
    <w:rsid w:val="002C2F8C"/>
    <w:rsid w:val="002C3BDA"/>
    <w:rsid w:val="002C47E6"/>
    <w:rsid w:val="002C4C57"/>
    <w:rsid w:val="002C5C76"/>
    <w:rsid w:val="002C5FCC"/>
    <w:rsid w:val="002C5FCE"/>
    <w:rsid w:val="002C6735"/>
    <w:rsid w:val="002C6F7B"/>
    <w:rsid w:val="002C78FA"/>
    <w:rsid w:val="002D04B4"/>
    <w:rsid w:val="002D0CD1"/>
    <w:rsid w:val="002D2AB0"/>
    <w:rsid w:val="002D2F1F"/>
    <w:rsid w:val="002D35DA"/>
    <w:rsid w:val="002D5113"/>
    <w:rsid w:val="002D67E6"/>
    <w:rsid w:val="002D6D35"/>
    <w:rsid w:val="002E025C"/>
    <w:rsid w:val="002E048C"/>
    <w:rsid w:val="002E0944"/>
    <w:rsid w:val="002E0BAD"/>
    <w:rsid w:val="002E1AEA"/>
    <w:rsid w:val="002E201E"/>
    <w:rsid w:val="002E302F"/>
    <w:rsid w:val="002E5322"/>
    <w:rsid w:val="002E53E7"/>
    <w:rsid w:val="002E6FB7"/>
    <w:rsid w:val="002E76E7"/>
    <w:rsid w:val="002E7D80"/>
    <w:rsid w:val="002F05AD"/>
    <w:rsid w:val="002F08C4"/>
    <w:rsid w:val="002F1731"/>
    <w:rsid w:val="002F1E66"/>
    <w:rsid w:val="002F1F9E"/>
    <w:rsid w:val="002F2688"/>
    <w:rsid w:val="002F2D11"/>
    <w:rsid w:val="002F397B"/>
    <w:rsid w:val="002F44D8"/>
    <w:rsid w:val="002F4B59"/>
    <w:rsid w:val="002F60E1"/>
    <w:rsid w:val="002F6995"/>
    <w:rsid w:val="0030025D"/>
    <w:rsid w:val="00300C99"/>
    <w:rsid w:val="00300DE7"/>
    <w:rsid w:val="00300F3E"/>
    <w:rsid w:val="00301EB2"/>
    <w:rsid w:val="003020C2"/>
    <w:rsid w:val="003021F1"/>
    <w:rsid w:val="0030235D"/>
    <w:rsid w:val="00302A47"/>
    <w:rsid w:val="00302AB4"/>
    <w:rsid w:val="0030326F"/>
    <w:rsid w:val="003035E1"/>
    <w:rsid w:val="00303D7A"/>
    <w:rsid w:val="003042CD"/>
    <w:rsid w:val="00304B08"/>
    <w:rsid w:val="00307615"/>
    <w:rsid w:val="003119D5"/>
    <w:rsid w:val="00312924"/>
    <w:rsid w:val="00313851"/>
    <w:rsid w:val="00313DD8"/>
    <w:rsid w:val="00314122"/>
    <w:rsid w:val="003143A0"/>
    <w:rsid w:val="00316B3E"/>
    <w:rsid w:val="00317BFD"/>
    <w:rsid w:val="00320203"/>
    <w:rsid w:val="003203B3"/>
    <w:rsid w:val="00320AB7"/>
    <w:rsid w:val="00322171"/>
    <w:rsid w:val="003231CC"/>
    <w:rsid w:val="003250D2"/>
    <w:rsid w:val="00325264"/>
    <w:rsid w:val="0032531C"/>
    <w:rsid w:val="00325790"/>
    <w:rsid w:val="0032591A"/>
    <w:rsid w:val="00325D6D"/>
    <w:rsid w:val="00326370"/>
    <w:rsid w:val="003274EA"/>
    <w:rsid w:val="003319BA"/>
    <w:rsid w:val="00331AB0"/>
    <w:rsid w:val="003333F8"/>
    <w:rsid w:val="003346B0"/>
    <w:rsid w:val="00335A07"/>
    <w:rsid w:val="00336EC5"/>
    <w:rsid w:val="003401F8"/>
    <w:rsid w:val="00340CAF"/>
    <w:rsid w:val="00341B1D"/>
    <w:rsid w:val="00342BE7"/>
    <w:rsid w:val="003432EA"/>
    <w:rsid w:val="00344ADC"/>
    <w:rsid w:val="00345082"/>
    <w:rsid w:val="00345150"/>
    <w:rsid w:val="003473D5"/>
    <w:rsid w:val="00347D55"/>
    <w:rsid w:val="00347E55"/>
    <w:rsid w:val="00347EDD"/>
    <w:rsid w:val="00350C30"/>
    <w:rsid w:val="00351100"/>
    <w:rsid w:val="003513F6"/>
    <w:rsid w:val="00351830"/>
    <w:rsid w:val="00352AF8"/>
    <w:rsid w:val="003533B3"/>
    <w:rsid w:val="003536A3"/>
    <w:rsid w:val="0035522B"/>
    <w:rsid w:val="00355838"/>
    <w:rsid w:val="00355CFA"/>
    <w:rsid w:val="003568D2"/>
    <w:rsid w:val="00360988"/>
    <w:rsid w:val="003613B7"/>
    <w:rsid w:val="0036238B"/>
    <w:rsid w:val="00364B22"/>
    <w:rsid w:val="00365323"/>
    <w:rsid w:val="0036630E"/>
    <w:rsid w:val="00367E1E"/>
    <w:rsid w:val="00367E8F"/>
    <w:rsid w:val="00371048"/>
    <w:rsid w:val="003723D9"/>
    <w:rsid w:val="003725AA"/>
    <w:rsid w:val="00372683"/>
    <w:rsid w:val="003732CC"/>
    <w:rsid w:val="00374C57"/>
    <w:rsid w:val="00375933"/>
    <w:rsid w:val="00376A84"/>
    <w:rsid w:val="0037799F"/>
    <w:rsid w:val="003779AF"/>
    <w:rsid w:val="00380047"/>
    <w:rsid w:val="003800A6"/>
    <w:rsid w:val="003808F4"/>
    <w:rsid w:val="00380E9D"/>
    <w:rsid w:val="003845D7"/>
    <w:rsid w:val="00384737"/>
    <w:rsid w:val="003856BB"/>
    <w:rsid w:val="003900E7"/>
    <w:rsid w:val="00390DF5"/>
    <w:rsid w:val="0039130D"/>
    <w:rsid w:val="00392534"/>
    <w:rsid w:val="0039269F"/>
    <w:rsid w:val="0039285F"/>
    <w:rsid w:val="00395002"/>
    <w:rsid w:val="00395085"/>
    <w:rsid w:val="003954C6"/>
    <w:rsid w:val="00395605"/>
    <w:rsid w:val="00396257"/>
    <w:rsid w:val="003978DA"/>
    <w:rsid w:val="003A07F7"/>
    <w:rsid w:val="003A1931"/>
    <w:rsid w:val="003A240E"/>
    <w:rsid w:val="003A28E0"/>
    <w:rsid w:val="003A3C5B"/>
    <w:rsid w:val="003A49C3"/>
    <w:rsid w:val="003A4B4D"/>
    <w:rsid w:val="003A525B"/>
    <w:rsid w:val="003A5DA1"/>
    <w:rsid w:val="003A7B1B"/>
    <w:rsid w:val="003B02CE"/>
    <w:rsid w:val="003B0A6E"/>
    <w:rsid w:val="003B13DD"/>
    <w:rsid w:val="003B1914"/>
    <w:rsid w:val="003B2509"/>
    <w:rsid w:val="003B2C8C"/>
    <w:rsid w:val="003B2DB5"/>
    <w:rsid w:val="003B3A23"/>
    <w:rsid w:val="003B44F1"/>
    <w:rsid w:val="003B4B47"/>
    <w:rsid w:val="003B4F01"/>
    <w:rsid w:val="003B68BB"/>
    <w:rsid w:val="003B6A3D"/>
    <w:rsid w:val="003C0298"/>
    <w:rsid w:val="003C15E4"/>
    <w:rsid w:val="003C18ED"/>
    <w:rsid w:val="003C1BCD"/>
    <w:rsid w:val="003C2483"/>
    <w:rsid w:val="003C2FA0"/>
    <w:rsid w:val="003C39C3"/>
    <w:rsid w:val="003C4879"/>
    <w:rsid w:val="003C59D2"/>
    <w:rsid w:val="003D0321"/>
    <w:rsid w:val="003D0410"/>
    <w:rsid w:val="003D08E8"/>
    <w:rsid w:val="003D1759"/>
    <w:rsid w:val="003D2221"/>
    <w:rsid w:val="003D287B"/>
    <w:rsid w:val="003D544F"/>
    <w:rsid w:val="003D641E"/>
    <w:rsid w:val="003D766E"/>
    <w:rsid w:val="003E03E7"/>
    <w:rsid w:val="003E0E8C"/>
    <w:rsid w:val="003E1378"/>
    <w:rsid w:val="003E18C4"/>
    <w:rsid w:val="003E1EC7"/>
    <w:rsid w:val="003E2152"/>
    <w:rsid w:val="003E2602"/>
    <w:rsid w:val="003E2C1A"/>
    <w:rsid w:val="003E2CA8"/>
    <w:rsid w:val="003E44F9"/>
    <w:rsid w:val="003E49DA"/>
    <w:rsid w:val="003E60B3"/>
    <w:rsid w:val="003E632F"/>
    <w:rsid w:val="003E668D"/>
    <w:rsid w:val="003F01E6"/>
    <w:rsid w:val="003F0601"/>
    <w:rsid w:val="003F098D"/>
    <w:rsid w:val="003F0A4C"/>
    <w:rsid w:val="003F0FEB"/>
    <w:rsid w:val="003F230C"/>
    <w:rsid w:val="003F236D"/>
    <w:rsid w:val="003F29D6"/>
    <w:rsid w:val="003F3125"/>
    <w:rsid w:val="003F39F9"/>
    <w:rsid w:val="003F3EA5"/>
    <w:rsid w:val="003F508D"/>
    <w:rsid w:val="003F6C9D"/>
    <w:rsid w:val="003F6D3A"/>
    <w:rsid w:val="003F7693"/>
    <w:rsid w:val="003F798B"/>
    <w:rsid w:val="003F7EA9"/>
    <w:rsid w:val="00400C19"/>
    <w:rsid w:val="00401502"/>
    <w:rsid w:val="00401D28"/>
    <w:rsid w:val="00402480"/>
    <w:rsid w:val="004027C2"/>
    <w:rsid w:val="00402AC4"/>
    <w:rsid w:val="00402C81"/>
    <w:rsid w:val="00403ADE"/>
    <w:rsid w:val="004043D9"/>
    <w:rsid w:val="00404A68"/>
    <w:rsid w:val="00404A70"/>
    <w:rsid w:val="0040562C"/>
    <w:rsid w:val="00405932"/>
    <w:rsid w:val="00407A95"/>
    <w:rsid w:val="00407B50"/>
    <w:rsid w:val="00407C58"/>
    <w:rsid w:val="00410D66"/>
    <w:rsid w:val="00411D3F"/>
    <w:rsid w:val="00411FC6"/>
    <w:rsid w:val="00412028"/>
    <w:rsid w:val="00415EE9"/>
    <w:rsid w:val="00416513"/>
    <w:rsid w:val="00416828"/>
    <w:rsid w:val="00416B99"/>
    <w:rsid w:val="00417B8C"/>
    <w:rsid w:val="00420B39"/>
    <w:rsid w:val="00420E4A"/>
    <w:rsid w:val="00420E64"/>
    <w:rsid w:val="00421569"/>
    <w:rsid w:val="00421D76"/>
    <w:rsid w:val="00422F2E"/>
    <w:rsid w:val="004231D0"/>
    <w:rsid w:val="00423BA2"/>
    <w:rsid w:val="00424237"/>
    <w:rsid w:val="00425D17"/>
    <w:rsid w:val="00426079"/>
    <w:rsid w:val="004264AF"/>
    <w:rsid w:val="00426ABE"/>
    <w:rsid w:val="00426D3F"/>
    <w:rsid w:val="004300A0"/>
    <w:rsid w:val="004308BB"/>
    <w:rsid w:val="0043097F"/>
    <w:rsid w:val="00430E54"/>
    <w:rsid w:val="00433027"/>
    <w:rsid w:val="00434E75"/>
    <w:rsid w:val="004352D7"/>
    <w:rsid w:val="00435AB4"/>
    <w:rsid w:val="00436538"/>
    <w:rsid w:val="00436EE4"/>
    <w:rsid w:val="00437AE5"/>
    <w:rsid w:val="004400AC"/>
    <w:rsid w:val="00440311"/>
    <w:rsid w:val="0044036A"/>
    <w:rsid w:val="0044076E"/>
    <w:rsid w:val="0044093F"/>
    <w:rsid w:val="004410C2"/>
    <w:rsid w:val="00441292"/>
    <w:rsid w:val="00441F3A"/>
    <w:rsid w:val="00444201"/>
    <w:rsid w:val="00444814"/>
    <w:rsid w:val="00444C67"/>
    <w:rsid w:val="00446209"/>
    <w:rsid w:val="004465E4"/>
    <w:rsid w:val="00446A13"/>
    <w:rsid w:val="00447EB2"/>
    <w:rsid w:val="004510D8"/>
    <w:rsid w:val="00451484"/>
    <w:rsid w:val="004530CE"/>
    <w:rsid w:val="00453BB1"/>
    <w:rsid w:val="00455BD2"/>
    <w:rsid w:val="00455ECE"/>
    <w:rsid w:val="00456DC2"/>
    <w:rsid w:val="004572FF"/>
    <w:rsid w:val="004574F6"/>
    <w:rsid w:val="004619B2"/>
    <w:rsid w:val="00461A92"/>
    <w:rsid w:val="00462915"/>
    <w:rsid w:val="00463170"/>
    <w:rsid w:val="00463760"/>
    <w:rsid w:val="0046540B"/>
    <w:rsid w:val="00466965"/>
    <w:rsid w:val="00466B2D"/>
    <w:rsid w:val="00467201"/>
    <w:rsid w:val="00467600"/>
    <w:rsid w:val="00467702"/>
    <w:rsid w:val="00467AB7"/>
    <w:rsid w:val="00467AEC"/>
    <w:rsid w:val="00467EBC"/>
    <w:rsid w:val="004708E8"/>
    <w:rsid w:val="0047153C"/>
    <w:rsid w:val="00471E68"/>
    <w:rsid w:val="00471EAE"/>
    <w:rsid w:val="00472182"/>
    <w:rsid w:val="00475B93"/>
    <w:rsid w:val="00476600"/>
    <w:rsid w:val="00477588"/>
    <w:rsid w:val="00477709"/>
    <w:rsid w:val="00480693"/>
    <w:rsid w:val="004810C8"/>
    <w:rsid w:val="004813EF"/>
    <w:rsid w:val="004822FD"/>
    <w:rsid w:val="0048323B"/>
    <w:rsid w:val="004833A7"/>
    <w:rsid w:val="00484C5F"/>
    <w:rsid w:val="004852FA"/>
    <w:rsid w:val="00485454"/>
    <w:rsid w:val="00486296"/>
    <w:rsid w:val="00486C4C"/>
    <w:rsid w:val="0048711D"/>
    <w:rsid w:val="00487765"/>
    <w:rsid w:val="004878C4"/>
    <w:rsid w:val="004879CF"/>
    <w:rsid w:val="00487B70"/>
    <w:rsid w:val="00487CA6"/>
    <w:rsid w:val="0049133C"/>
    <w:rsid w:val="004921F7"/>
    <w:rsid w:val="00492B87"/>
    <w:rsid w:val="00492D94"/>
    <w:rsid w:val="00494A17"/>
    <w:rsid w:val="00495681"/>
    <w:rsid w:val="00495C29"/>
    <w:rsid w:val="00497619"/>
    <w:rsid w:val="004A1296"/>
    <w:rsid w:val="004A12FE"/>
    <w:rsid w:val="004A1843"/>
    <w:rsid w:val="004A1B12"/>
    <w:rsid w:val="004A3763"/>
    <w:rsid w:val="004A386B"/>
    <w:rsid w:val="004A43DC"/>
    <w:rsid w:val="004A4E58"/>
    <w:rsid w:val="004A542B"/>
    <w:rsid w:val="004A6D71"/>
    <w:rsid w:val="004A7410"/>
    <w:rsid w:val="004A7633"/>
    <w:rsid w:val="004A78E5"/>
    <w:rsid w:val="004A7B61"/>
    <w:rsid w:val="004A7EF8"/>
    <w:rsid w:val="004B0C54"/>
    <w:rsid w:val="004B16C2"/>
    <w:rsid w:val="004B344B"/>
    <w:rsid w:val="004B42FA"/>
    <w:rsid w:val="004B4446"/>
    <w:rsid w:val="004B4FFD"/>
    <w:rsid w:val="004B5239"/>
    <w:rsid w:val="004B52D0"/>
    <w:rsid w:val="004B633E"/>
    <w:rsid w:val="004B69A9"/>
    <w:rsid w:val="004B73ED"/>
    <w:rsid w:val="004C0364"/>
    <w:rsid w:val="004C18BE"/>
    <w:rsid w:val="004C29B9"/>
    <w:rsid w:val="004C2BDF"/>
    <w:rsid w:val="004C34E9"/>
    <w:rsid w:val="004C44DD"/>
    <w:rsid w:val="004C53C4"/>
    <w:rsid w:val="004C54D2"/>
    <w:rsid w:val="004C5B6C"/>
    <w:rsid w:val="004C6721"/>
    <w:rsid w:val="004C6977"/>
    <w:rsid w:val="004D09D5"/>
    <w:rsid w:val="004D15DB"/>
    <w:rsid w:val="004D1710"/>
    <w:rsid w:val="004D3C5C"/>
    <w:rsid w:val="004D4F1C"/>
    <w:rsid w:val="004D5003"/>
    <w:rsid w:val="004D5406"/>
    <w:rsid w:val="004D56AD"/>
    <w:rsid w:val="004D5B11"/>
    <w:rsid w:val="004D6061"/>
    <w:rsid w:val="004D607D"/>
    <w:rsid w:val="004E3697"/>
    <w:rsid w:val="004E4A92"/>
    <w:rsid w:val="004E4D57"/>
    <w:rsid w:val="004E5CE4"/>
    <w:rsid w:val="004E5CF1"/>
    <w:rsid w:val="004E62B9"/>
    <w:rsid w:val="004E68F5"/>
    <w:rsid w:val="004F0A07"/>
    <w:rsid w:val="004F15D5"/>
    <w:rsid w:val="004F3631"/>
    <w:rsid w:val="004F45F8"/>
    <w:rsid w:val="004F5229"/>
    <w:rsid w:val="004F7ED3"/>
    <w:rsid w:val="0050079B"/>
    <w:rsid w:val="0050108A"/>
    <w:rsid w:val="00502B7A"/>
    <w:rsid w:val="0050478C"/>
    <w:rsid w:val="00504AC4"/>
    <w:rsid w:val="00505233"/>
    <w:rsid w:val="00506F69"/>
    <w:rsid w:val="005100ED"/>
    <w:rsid w:val="0051088C"/>
    <w:rsid w:val="005108F3"/>
    <w:rsid w:val="00510EC3"/>
    <w:rsid w:val="00511C7A"/>
    <w:rsid w:val="005129EC"/>
    <w:rsid w:val="00512E99"/>
    <w:rsid w:val="00512ECA"/>
    <w:rsid w:val="005135F1"/>
    <w:rsid w:val="0051386C"/>
    <w:rsid w:val="00513CDE"/>
    <w:rsid w:val="00513D0D"/>
    <w:rsid w:val="00514610"/>
    <w:rsid w:val="00515765"/>
    <w:rsid w:val="005159EC"/>
    <w:rsid w:val="00516377"/>
    <w:rsid w:val="00516544"/>
    <w:rsid w:val="00516AA0"/>
    <w:rsid w:val="005172DA"/>
    <w:rsid w:val="0051735E"/>
    <w:rsid w:val="0051796D"/>
    <w:rsid w:val="005202D3"/>
    <w:rsid w:val="005206D7"/>
    <w:rsid w:val="005210FC"/>
    <w:rsid w:val="005217B7"/>
    <w:rsid w:val="00522AC0"/>
    <w:rsid w:val="005236AD"/>
    <w:rsid w:val="0052412F"/>
    <w:rsid w:val="00524B71"/>
    <w:rsid w:val="00525265"/>
    <w:rsid w:val="0052548D"/>
    <w:rsid w:val="0052637A"/>
    <w:rsid w:val="0052711C"/>
    <w:rsid w:val="005279BB"/>
    <w:rsid w:val="005300C6"/>
    <w:rsid w:val="00530524"/>
    <w:rsid w:val="0053084B"/>
    <w:rsid w:val="00530ADE"/>
    <w:rsid w:val="00530AEE"/>
    <w:rsid w:val="00530F66"/>
    <w:rsid w:val="00530F8B"/>
    <w:rsid w:val="00531069"/>
    <w:rsid w:val="0053149D"/>
    <w:rsid w:val="00531590"/>
    <w:rsid w:val="0053288A"/>
    <w:rsid w:val="00533171"/>
    <w:rsid w:val="005338AF"/>
    <w:rsid w:val="005343D7"/>
    <w:rsid w:val="0053457B"/>
    <w:rsid w:val="00534AB4"/>
    <w:rsid w:val="0053577E"/>
    <w:rsid w:val="005375AC"/>
    <w:rsid w:val="00537D3B"/>
    <w:rsid w:val="00540006"/>
    <w:rsid w:val="0054110D"/>
    <w:rsid w:val="00541CD3"/>
    <w:rsid w:val="00542745"/>
    <w:rsid w:val="00543215"/>
    <w:rsid w:val="0054368B"/>
    <w:rsid w:val="00544266"/>
    <w:rsid w:val="00544F48"/>
    <w:rsid w:val="00545FD7"/>
    <w:rsid w:val="005462A7"/>
    <w:rsid w:val="00547306"/>
    <w:rsid w:val="005473A2"/>
    <w:rsid w:val="00547493"/>
    <w:rsid w:val="0054782D"/>
    <w:rsid w:val="005506B9"/>
    <w:rsid w:val="00550A65"/>
    <w:rsid w:val="00550D8C"/>
    <w:rsid w:val="0055101E"/>
    <w:rsid w:val="005513F2"/>
    <w:rsid w:val="00551C19"/>
    <w:rsid w:val="00552C7E"/>
    <w:rsid w:val="005535C6"/>
    <w:rsid w:val="00555227"/>
    <w:rsid w:val="00555BC9"/>
    <w:rsid w:val="005566F1"/>
    <w:rsid w:val="00556BCB"/>
    <w:rsid w:val="00556D4C"/>
    <w:rsid w:val="00557773"/>
    <w:rsid w:val="00557C10"/>
    <w:rsid w:val="00560D17"/>
    <w:rsid w:val="00560E40"/>
    <w:rsid w:val="00561BD1"/>
    <w:rsid w:val="00561FEA"/>
    <w:rsid w:val="005623F8"/>
    <w:rsid w:val="00562A27"/>
    <w:rsid w:val="005637BA"/>
    <w:rsid w:val="00563EFB"/>
    <w:rsid w:val="0056412E"/>
    <w:rsid w:val="00564662"/>
    <w:rsid w:val="005652A2"/>
    <w:rsid w:val="005654BB"/>
    <w:rsid w:val="00565AB0"/>
    <w:rsid w:val="00566838"/>
    <w:rsid w:val="0056698A"/>
    <w:rsid w:val="00566B50"/>
    <w:rsid w:val="00570408"/>
    <w:rsid w:val="005710C9"/>
    <w:rsid w:val="00571BA4"/>
    <w:rsid w:val="005732CA"/>
    <w:rsid w:val="005735C4"/>
    <w:rsid w:val="00573D9C"/>
    <w:rsid w:val="00574475"/>
    <w:rsid w:val="00574D9D"/>
    <w:rsid w:val="00576152"/>
    <w:rsid w:val="005763EF"/>
    <w:rsid w:val="00577625"/>
    <w:rsid w:val="005803CD"/>
    <w:rsid w:val="00580C78"/>
    <w:rsid w:val="00582AA4"/>
    <w:rsid w:val="005834F7"/>
    <w:rsid w:val="00583933"/>
    <w:rsid w:val="00584E43"/>
    <w:rsid w:val="005856AE"/>
    <w:rsid w:val="00586E86"/>
    <w:rsid w:val="0058701A"/>
    <w:rsid w:val="005908C5"/>
    <w:rsid w:val="00593123"/>
    <w:rsid w:val="00593C18"/>
    <w:rsid w:val="00593EA3"/>
    <w:rsid w:val="005940C9"/>
    <w:rsid w:val="00594484"/>
    <w:rsid w:val="00594EAD"/>
    <w:rsid w:val="005954A3"/>
    <w:rsid w:val="00596100"/>
    <w:rsid w:val="005961B4"/>
    <w:rsid w:val="00596BE2"/>
    <w:rsid w:val="005A07A9"/>
    <w:rsid w:val="005A07C6"/>
    <w:rsid w:val="005A0A3E"/>
    <w:rsid w:val="005A0C3C"/>
    <w:rsid w:val="005A1462"/>
    <w:rsid w:val="005A23ED"/>
    <w:rsid w:val="005A2C8C"/>
    <w:rsid w:val="005A330E"/>
    <w:rsid w:val="005A389D"/>
    <w:rsid w:val="005A3992"/>
    <w:rsid w:val="005A5887"/>
    <w:rsid w:val="005A6C3A"/>
    <w:rsid w:val="005A6CE8"/>
    <w:rsid w:val="005A6E04"/>
    <w:rsid w:val="005A7083"/>
    <w:rsid w:val="005B0613"/>
    <w:rsid w:val="005B0CA9"/>
    <w:rsid w:val="005B114F"/>
    <w:rsid w:val="005B1D52"/>
    <w:rsid w:val="005B22CE"/>
    <w:rsid w:val="005B29F1"/>
    <w:rsid w:val="005B3649"/>
    <w:rsid w:val="005B36CF"/>
    <w:rsid w:val="005B3BA6"/>
    <w:rsid w:val="005B3DAD"/>
    <w:rsid w:val="005B4208"/>
    <w:rsid w:val="005B4282"/>
    <w:rsid w:val="005B52FA"/>
    <w:rsid w:val="005B5550"/>
    <w:rsid w:val="005B586D"/>
    <w:rsid w:val="005B5C37"/>
    <w:rsid w:val="005B6531"/>
    <w:rsid w:val="005B727A"/>
    <w:rsid w:val="005C0CF7"/>
    <w:rsid w:val="005C0CFD"/>
    <w:rsid w:val="005C11F2"/>
    <w:rsid w:val="005C23A6"/>
    <w:rsid w:val="005C3A15"/>
    <w:rsid w:val="005C4FC3"/>
    <w:rsid w:val="005C50AA"/>
    <w:rsid w:val="005C5395"/>
    <w:rsid w:val="005C617F"/>
    <w:rsid w:val="005C6A76"/>
    <w:rsid w:val="005C7295"/>
    <w:rsid w:val="005C76E3"/>
    <w:rsid w:val="005C774D"/>
    <w:rsid w:val="005D037A"/>
    <w:rsid w:val="005D092B"/>
    <w:rsid w:val="005D0A61"/>
    <w:rsid w:val="005D111F"/>
    <w:rsid w:val="005D13CD"/>
    <w:rsid w:val="005D1D95"/>
    <w:rsid w:val="005D20FB"/>
    <w:rsid w:val="005D3303"/>
    <w:rsid w:val="005D3900"/>
    <w:rsid w:val="005D3EA8"/>
    <w:rsid w:val="005D5482"/>
    <w:rsid w:val="005D581E"/>
    <w:rsid w:val="005D5A7A"/>
    <w:rsid w:val="005D6F56"/>
    <w:rsid w:val="005E0522"/>
    <w:rsid w:val="005E06B0"/>
    <w:rsid w:val="005E17D1"/>
    <w:rsid w:val="005E1CB2"/>
    <w:rsid w:val="005E2062"/>
    <w:rsid w:val="005E2121"/>
    <w:rsid w:val="005E2F10"/>
    <w:rsid w:val="005E3B1C"/>
    <w:rsid w:val="005E44A9"/>
    <w:rsid w:val="005E632D"/>
    <w:rsid w:val="005E692A"/>
    <w:rsid w:val="005E756A"/>
    <w:rsid w:val="005F057E"/>
    <w:rsid w:val="005F08F3"/>
    <w:rsid w:val="005F116F"/>
    <w:rsid w:val="005F117D"/>
    <w:rsid w:val="005F285C"/>
    <w:rsid w:val="005F2960"/>
    <w:rsid w:val="005F347D"/>
    <w:rsid w:val="005F395A"/>
    <w:rsid w:val="005F43C7"/>
    <w:rsid w:val="005F469C"/>
    <w:rsid w:val="005F469E"/>
    <w:rsid w:val="005F4820"/>
    <w:rsid w:val="005F54E0"/>
    <w:rsid w:val="0060050B"/>
    <w:rsid w:val="00600772"/>
    <w:rsid w:val="006022E3"/>
    <w:rsid w:val="006028FF"/>
    <w:rsid w:val="006035A6"/>
    <w:rsid w:val="0060375B"/>
    <w:rsid w:val="00603794"/>
    <w:rsid w:val="00603EA5"/>
    <w:rsid w:val="006041DE"/>
    <w:rsid w:val="00604248"/>
    <w:rsid w:val="00605447"/>
    <w:rsid w:val="00605EA2"/>
    <w:rsid w:val="00605F92"/>
    <w:rsid w:val="0060623D"/>
    <w:rsid w:val="006071A6"/>
    <w:rsid w:val="006078EB"/>
    <w:rsid w:val="00607BE0"/>
    <w:rsid w:val="0061152F"/>
    <w:rsid w:val="00613339"/>
    <w:rsid w:val="0061403A"/>
    <w:rsid w:val="00614A14"/>
    <w:rsid w:val="00614A8E"/>
    <w:rsid w:val="00615806"/>
    <w:rsid w:val="006161DC"/>
    <w:rsid w:val="0061715E"/>
    <w:rsid w:val="00620B7D"/>
    <w:rsid w:val="0062114C"/>
    <w:rsid w:val="00621838"/>
    <w:rsid w:val="00621E3D"/>
    <w:rsid w:val="006230E1"/>
    <w:rsid w:val="00623B46"/>
    <w:rsid w:val="006240E2"/>
    <w:rsid w:val="00624233"/>
    <w:rsid w:val="006250FD"/>
    <w:rsid w:val="00627C2E"/>
    <w:rsid w:val="00630070"/>
    <w:rsid w:val="006300D8"/>
    <w:rsid w:val="0063013B"/>
    <w:rsid w:val="00630B57"/>
    <w:rsid w:val="00631A3C"/>
    <w:rsid w:val="00631DAE"/>
    <w:rsid w:val="00631F35"/>
    <w:rsid w:val="00632477"/>
    <w:rsid w:val="0063257E"/>
    <w:rsid w:val="0063315C"/>
    <w:rsid w:val="0063327D"/>
    <w:rsid w:val="00634DDB"/>
    <w:rsid w:val="00635727"/>
    <w:rsid w:val="0063698C"/>
    <w:rsid w:val="00636F26"/>
    <w:rsid w:val="00637394"/>
    <w:rsid w:val="006375BE"/>
    <w:rsid w:val="00637FDD"/>
    <w:rsid w:val="00641B9C"/>
    <w:rsid w:val="00641C75"/>
    <w:rsid w:val="00641D8F"/>
    <w:rsid w:val="0064275E"/>
    <w:rsid w:val="00643657"/>
    <w:rsid w:val="00643EF8"/>
    <w:rsid w:val="00644060"/>
    <w:rsid w:val="00644386"/>
    <w:rsid w:val="0064456D"/>
    <w:rsid w:val="00644F8E"/>
    <w:rsid w:val="00645546"/>
    <w:rsid w:val="00645AB8"/>
    <w:rsid w:val="00645D54"/>
    <w:rsid w:val="0064624A"/>
    <w:rsid w:val="00646393"/>
    <w:rsid w:val="00646FB9"/>
    <w:rsid w:val="00647288"/>
    <w:rsid w:val="00647CD4"/>
    <w:rsid w:val="00650153"/>
    <w:rsid w:val="0065023A"/>
    <w:rsid w:val="006506FE"/>
    <w:rsid w:val="00651240"/>
    <w:rsid w:val="00652DFE"/>
    <w:rsid w:val="006541B7"/>
    <w:rsid w:val="00655A0B"/>
    <w:rsid w:val="00655C48"/>
    <w:rsid w:val="00655CA3"/>
    <w:rsid w:val="00656A36"/>
    <w:rsid w:val="00656A7E"/>
    <w:rsid w:val="00656DC0"/>
    <w:rsid w:val="00660503"/>
    <w:rsid w:val="00662334"/>
    <w:rsid w:val="00662E45"/>
    <w:rsid w:val="006652EF"/>
    <w:rsid w:val="00666447"/>
    <w:rsid w:val="00667A76"/>
    <w:rsid w:val="00667B6A"/>
    <w:rsid w:val="00670779"/>
    <w:rsid w:val="00670DD1"/>
    <w:rsid w:val="00671593"/>
    <w:rsid w:val="0067172B"/>
    <w:rsid w:val="00672480"/>
    <w:rsid w:val="00672498"/>
    <w:rsid w:val="00673BEB"/>
    <w:rsid w:val="0067509E"/>
    <w:rsid w:val="0067521A"/>
    <w:rsid w:val="00675E12"/>
    <w:rsid w:val="006763D3"/>
    <w:rsid w:val="006768E8"/>
    <w:rsid w:val="006825F6"/>
    <w:rsid w:val="00683671"/>
    <w:rsid w:val="00683D26"/>
    <w:rsid w:val="00683F25"/>
    <w:rsid w:val="00683F87"/>
    <w:rsid w:val="00684607"/>
    <w:rsid w:val="00684B7D"/>
    <w:rsid w:val="0068661A"/>
    <w:rsid w:val="00687AD4"/>
    <w:rsid w:val="00687FD2"/>
    <w:rsid w:val="00690007"/>
    <w:rsid w:val="006919FC"/>
    <w:rsid w:val="00692E21"/>
    <w:rsid w:val="00693936"/>
    <w:rsid w:val="00693A03"/>
    <w:rsid w:val="00693BF4"/>
    <w:rsid w:val="00695020"/>
    <w:rsid w:val="00696807"/>
    <w:rsid w:val="006969A8"/>
    <w:rsid w:val="00696E62"/>
    <w:rsid w:val="00697A97"/>
    <w:rsid w:val="00697BD9"/>
    <w:rsid w:val="00697EC7"/>
    <w:rsid w:val="006A0863"/>
    <w:rsid w:val="006A0EC0"/>
    <w:rsid w:val="006A2C00"/>
    <w:rsid w:val="006A4451"/>
    <w:rsid w:val="006A4BB4"/>
    <w:rsid w:val="006A4DFC"/>
    <w:rsid w:val="006A5170"/>
    <w:rsid w:val="006A6730"/>
    <w:rsid w:val="006A784F"/>
    <w:rsid w:val="006B0953"/>
    <w:rsid w:val="006B0DFF"/>
    <w:rsid w:val="006B1216"/>
    <w:rsid w:val="006B17FD"/>
    <w:rsid w:val="006B18CA"/>
    <w:rsid w:val="006B2260"/>
    <w:rsid w:val="006B2FC7"/>
    <w:rsid w:val="006B2FE8"/>
    <w:rsid w:val="006B3356"/>
    <w:rsid w:val="006B5E99"/>
    <w:rsid w:val="006B64F0"/>
    <w:rsid w:val="006B6F98"/>
    <w:rsid w:val="006C0780"/>
    <w:rsid w:val="006C0E13"/>
    <w:rsid w:val="006C17D5"/>
    <w:rsid w:val="006C24D3"/>
    <w:rsid w:val="006C3056"/>
    <w:rsid w:val="006C49BD"/>
    <w:rsid w:val="006C4D81"/>
    <w:rsid w:val="006C537D"/>
    <w:rsid w:val="006C577F"/>
    <w:rsid w:val="006C5BE3"/>
    <w:rsid w:val="006C67DD"/>
    <w:rsid w:val="006C7DA4"/>
    <w:rsid w:val="006C7F5C"/>
    <w:rsid w:val="006D189D"/>
    <w:rsid w:val="006D1A7C"/>
    <w:rsid w:val="006D31FC"/>
    <w:rsid w:val="006D3EF2"/>
    <w:rsid w:val="006D3FE9"/>
    <w:rsid w:val="006D406E"/>
    <w:rsid w:val="006D4703"/>
    <w:rsid w:val="006D5727"/>
    <w:rsid w:val="006D578F"/>
    <w:rsid w:val="006D5866"/>
    <w:rsid w:val="006D754C"/>
    <w:rsid w:val="006D7FBA"/>
    <w:rsid w:val="006E0264"/>
    <w:rsid w:val="006E042B"/>
    <w:rsid w:val="006E2231"/>
    <w:rsid w:val="006E2699"/>
    <w:rsid w:val="006E285D"/>
    <w:rsid w:val="006E2D0E"/>
    <w:rsid w:val="006E2FC5"/>
    <w:rsid w:val="006E347E"/>
    <w:rsid w:val="006E38DA"/>
    <w:rsid w:val="006E435D"/>
    <w:rsid w:val="006E45CF"/>
    <w:rsid w:val="006E6A12"/>
    <w:rsid w:val="006F23C2"/>
    <w:rsid w:val="006F24B2"/>
    <w:rsid w:val="006F5459"/>
    <w:rsid w:val="006F577D"/>
    <w:rsid w:val="006F5B78"/>
    <w:rsid w:val="006F72A2"/>
    <w:rsid w:val="006F794A"/>
    <w:rsid w:val="006F7F7F"/>
    <w:rsid w:val="00700900"/>
    <w:rsid w:val="00701E6F"/>
    <w:rsid w:val="0070211D"/>
    <w:rsid w:val="007025BB"/>
    <w:rsid w:val="00702733"/>
    <w:rsid w:val="00705157"/>
    <w:rsid w:val="00705DE0"/>
    <w:rsid w:val="0070634A"/>
    <w:rsid w:val="00706A17"/>
    <w:rsid w:val="0070737F"/>
    <w:rsid w:val="00710007"/>
    <w:rsid w:val="0071085F"/>
    <w:rsid w:val="0071093B"/>
    <w:rsid w:val="00710A11"/>
    <w:rsid w:val="00710A3F"/>
    <w:rsid w:val="007140D2"/>
    <w:rsid w:val="00714EE8"/>
    <w:rsid w:val="00715685"/>
    <w:rsid w:val="00716493"/>
    <w:rsid w:val="00717673"/>
    <w:rsid w:val="00717B31"/>
    <w:rsid w:val="00720A7D"/>
    <w:rsid w:val="0072310E"/>
    <w:rsid w:val="00723F39"/>
    <w:rsid w:val="00724427"/>
    <w:rsid w:val="007245B2"/>
    <w:rsid w:val="0072462D"/>
    <w:rsid w:val="00724EAA"/>
    <w:rsid w:val="00724EDA"/>
    <w:rsid w:val="007302FD"/>
    <w:rsid w:val="0073036A"/>
    <w:rsid w:val="007307C5"/>
    <w:rsid w:val="00731489"/>
    <w:rsid w:val="00731774"/>
    <w:rsid w:val="00732E15"/>
    <w:rsid w:val="00733B89"/>
    <w:rsid w:val="00733C18"/>
    <w:rsid w:val="00734091"/>
    <w:rsid w:val="00734A51"/>
    <w:rsid w:val="007353EE"/>
    <w:rsid w:val="00736130"/>
    <w:rsid w:val="007365A4"/>
    <w:rsid w:val="00736FEF"/>
    <w:rsid w:val="00737175"/>
    <w:rsid w:val="007403ED"/>
    <w:rsid w:val="007406EC"/>
    <w:rsid w:val="0074095D"/>
    <w:rsid w:val="00740E1B"/>
    <w:rsid w:val="00741E5A"/>
    <w:rsid w:val="0074254C"/>
    <w:rsid w:val="00742E9B"/>
    <w:rsid w:val="00744DAD"/>
    <w:rsid w:val="00745212"/>
    <w:rsid w:val="007458EC"/>
    <w:rsid w:val="007503BF"/>
    <w:rsid w:val="00750451"/>
    <w:rsid w:val="00751351"/>
    <w:rsid w:val="00751632"/>
    <w:rsid w:val="00751907"/>
    <w:rsid w:val="00752384"/>
    <w:rsid w:val="007526B1"/>
    <w:rsid w:val="00752FE8"/>
    <w:rsid w:val="00753150"/>
    <w:rsid w:val="0075368F"/>
    <w:rsid w:val="00754198"/>
    <w:rsid w:val="00754CE1"/>
    <w:rsid w:val="00755570"/>
    <w:rsid w:val="00755F4B"/>
    <w:rsid w:val="007560F4"/>
    <w:rsid w:val="0075612A"/>
    <w:rsid w:val="0075667F"/>
    <w:rsid w:val="0075687A"/>
    <w:rsid w:val="00757044"/>
    <w:rsid w:val="00760A6B"/>
    <w:rsid w:val="00760BB4"/>
    <w:rsid w:val="00761CA0"/>
    <w:rsid w:val="00761F51"/>
    <w:rsid w:val="00763E82"/>
    <w:rsid w:val="00764EA4"/>
    <w:rsid w:val="007658C6"/>
    <w:rsid w:val="00766017"/>
    <w:rsid w:val="00766689"/>
    <w:rsid w:val="00766A73"/>
    <w:rsid w:val="00766A7A"/>
    <w:rsid w:val="00766F6C"/>
    <w:rsid w:val="00767278"/>
    <w:rsid w:val="0077029F"/>
    <w:rsid w:val="007705EA"/>
    <w:rsid w:val="00771595"/>
    <w:rsid w:val="0077280B"/>
    <w:rsid w:val="00772D82"/>
    <w:rsid w:val="007738AC"/>
    <w:rsid w:val="00773FBF"/>
    <w:rsid w:val="00774420"/>
    <w:rsid w:val="007745EA"/>
    <w:rsid w:val="007745FD"/>
    <w:rsid w:val="00774912"/>
    <w:rsid w:val="00774D55"/>
    <w:rsid w:val="00775DD7"/>
    <w:rsid w:val="00775FFB"/>
    <w:rsid w:val="00776C09"/>
    <w:rsid w:val="00777760"/>
    <w:rsid w:val="00777AEA"/>
    <w:rsid w:val="007802C6"/>
    <w:rsid w:val="00781349"/>
    <w:rsid w:val="007817CB"/>
    <w:rsid w:val="00782196"/>
    <w:rsid w:val="00782609"/>
    <w:rsid w:val="00782B9A"/>
    <w:rsid w:val="00782BF8"/>
    <w:rsid w:val="007831AD"/>
    <w:rsid w:val="0078372D"/>
    <w:rsid w:val="00783C65"/>
    <w:rsid w:val="0078474C"/>
    <w:rsid w:val="00785796"/>
    <w:rsid w:val="00785C8F"/>
    <w:rsid w:val="0078766F"/>
    <w:rsid w:val="00787A34"/>
    <w:rsid w:val="0079004C"/>
    <w:rsid w:val="00790350"/>
    <w:rsid w:val="00790816"/>
    <w:rsid w:val="007909EA"/>
    <w:rsid w:val="00790F1E"/>
    <w:rsid w:val="00790F9D"/>
    <w:rsid w:val="00791080"/>
    <w:rsid w:val="00791E20"/>
    <w:rsid w:val="007924C7"/>
    <w:rsid w:val="00792891"/>
    <w:rsid w:val="00793726"/>
    <w:rsid w:val="00793993"/>
    <w:rsid w:val="007944CF"/>
    <w:rsid w:val="00795578"/>
    <w:rsid w:val="00796021"/>
    <w:rsid w:val="00796272"/>
    <w:rsid w:val="00796418"/>
    <w:rsid w:val="0079710B"/>
    <w:rsid w:val="0079745C"/>
    <w:rsid w:val="00797757"/>
    <w:rsid w:val="007A0D26"/>
    <w:rsid w:val="007A1090"/>
    <w:rsid w:val="007A1F2A"/>
    <w:rsid w:val="007A4285"/>
    <w:rsid w:val="007A4AC9"/>
    <w:rsid w:val="007A4AF1"/>
    <w:rsid w:val="007A6A2D"/>
    <w:rsid w:val="007A7919"/>
    <w:rsid w:val="007A7A38"/>
    <w:rsid w:val="007B0250"/>
    <w:rsid w:val="007B15F8"/>
    <w:rsid w:val="007B392B"/>
    <w:rsid w:val="007B3BCF"/>
    <w:rsid w:val="007B6BA0"/>
    <w:rsid w:val="007C0251"/>
    <w:rsid w:val="007C04FD"/>
    <w:rsid w:val="007C0563"/>
    <w:rsid w:val="007C089D"/>
    <w:rsid w:val="007C14B1"/>
    <w:rsid w:val="007C1538"/>
    <w:rsid w:val="007C15F0"/>
    <w:rsid w:val="007C19BC"/>
    <w:rsid w:val="007C4560"/>
    <w:rsid w:val="007C4A9C"/>
    <w:rsid w:val="007C542F"/>
    <w:rsid w:val="007C58B1"/>
    <w:rsid w:val="007C59D7"/>
    <w:rsid w:val="007C68FD"/>
    <w:rsid w:val="007D028A"/>
    <w:rsid w:val="007D0F0E"/>
    <w:rsid w:val="007D2001"/>
    <w:rsid w:val="007D2096"/>
    <w:rsid w:val="007D3A4E"/>
    <w:rsid w:val="007D5E93"/>
    <w:rsid w:val="007D70C9"/>
    <w:rsid w:val="007D7392"/>
    <w:rsid w:val="007D79F7"/>
    <w:rsid w:val="007D7AEC"/>
    <w:rsid w:val="007D7C65"/>
    <w:rsid w:val="007E0A9E"/>
    <w:rsid w:val="007E0BD5"/>
    <w:rsid w:val="007E11C4"/>
    <w:rsid w:val="007E1A41"/>
    <w:rsid w:val="007E1FAD"/>
    <w:rsid w:val="007E2D03"/>
    <w:rsid w:val="007E32CE"/>
    <w:rsid w:val="007E4320"/>
    <w:rsid w:val="007E54DC"/>
    <w:rsid w:val="007F0A92"/>
    <w:rsid w:val="007F2253"/>
    <w:rsid w:val="007F2907"/>
    <w:rsid w:val="007F2EBA"/>
    <w:rsid w:val="007F3401"/>
    <w:rsid w:val="007F3839"/>
    <w:rsid w:val="007F3D2B"/>
    <w:rsid w:val="007F4B91"/>
    <w:rsid w:val="007F4BCE"/>
    <w:rsid w:val="007F4E15"/>
    <w:rsid w:val="007F5668"/>
    <w:rsid w:val="007F618E"/>
    <w:rsid w:val="007F64F0"/>
    <w:rsid w:val="007F673B"/>
    <w:rsid w:val="007F6A18"/>
    <w:rsid w:val="007F74E1"/>
    <w:rsid w:val="00800034"/>
    <w:rsid w:val="008010E0"/>
    <w:rsid w:val="00802566"/>
    <w:rsid w:val="008028F8"/>
    <w:rsid w:val="00802DA8"/>
    <w:rsid w:val="00803632"/>
    <w:rsid w:val="00803E7D"/>
    <w:rsid w:val="0080423E"/>
    <w:rsid w:val="0080566A"/>
    <w:rsid w:val="0080664C"/>
    <w:rsid w:val="00810E2A"/>
    <w:rsid w:val="00811A13"/>
    <w:rsid w:val="008148CA"/>
    <w:rsid w:val="008163AB"/>
    <w:rsid w:val="0081712C"/>
    <w:rsid w:val="00817957"/>
    <w:rsid w:val="008203F2"/>
    <w:rsid w:val="0082041E"/>
    <w:rsid w:val="00820883"/>
    <w:rsid w:val="00820994"/>
    <w:rsid w:val="00821F40"/>
    <w:rsid w:val="00823746"/>
    <w:rsid w:val="00823C31"/>
    <w:rsid w:val="00824B92"/>
    <w:rsid w:val="00825051"/>
    <w:rsid w:val="008254BA"/>
    <w:rsid w:val="00826064"/>
    <w:rsid w:val="008265DF"/>
    <w:rsid w:val="00826987"/>
    <w:rsid w:val="00826DE2"/>
    <w:rsid w:val="00826E11"/>
    <w:rsid w:val="008275A3"/>
    <w:rsid w:val="00827656"/>
    <w:rsid w:val="00830071"/>
    <w:rsid w:val="00830381"/>
    <w:rsid w:val="00830612"/>
    <w:rsid w:val="008312A6"/>
    <w:rsid w:val="00832482"/>
    <w:rsid w:val="008328DB"/>
    <w:rsid w:val="008339AE"/>
    <w:rsid w:val="00833A1E"/>
    <w:rsid w:val="00833EC4"/>
    <w:rsid w:val="00834A2A"/>
    <w:rsid w:val="00835D0E"/>
    <w:rsid w:val="0083611D"/>
    <w:rsid w:val="00840F62"/>
    <w:rsid w:val="00841775"/>
    <w:rsid w:val="00841C9E"/>
    <w:rsid w:val="00841E74"/>
    <w:rsid w:val="00842B64"/>
    <w:rsid w:val="008433E4"/>
    <w:rsid w:val="00843544"/>
    <w:rsid w:val="00843660"/>
    <w:rsid w:val="008447CA"/>
    <w:rsid w:val="008448A0"/>
    <w:rsid w:val="00845634"/>
    <w:rsid w:val="008465AD"/>
    <w:rsid w:val="00850424"/>
    <w:rsid w:val="00851BD4"/>
    <w:rsid w:val="00852432"/>
    <w:rsid w:val="008526C2"/>
    <w:rsid w:val="008528A3"/>
    <w:rsid w:val="00853AE7"/>
    <w:rsid w:val="008540CC"/>
    <w:rsid w:val="00856AE8"/>
    <w:rsid w:val="00856B1B"/>
    <w:rsid w:val="00860C46"/>
    <w:rsid w:val="00860FEF"/>
    <w:rsid w:val="00861D5D"/>
    <w:rsid w:val="00862F2B"/>
    <w:rsid w:val="00862F43"/>
    <w:rsid w:val="00863019"/>
    <w:rsid w:val="00864672"/>
    <w:rsid w:val="00866A79"/>
    <w:rsid w:val="00867034"/>
    <w:rsid w:val="00867539"/>
    <w:rsid w:val="008678BF"/>
    <w:rsid w:val="008678E5"/>
    <w:rsid w:val="00870CDA"/>
    <w:rsid w:val="00870DB9"/>
    <w:rsid w:val="00872112"/>
    <w:rsid w:val="0087320D"/>
    <w:rsid w:val="00874261"/>
    <w:rsid w:val="00874CCB"/>
    <w:rsid w:val="00875329"/>
    <w:rsid w:val="008767D1"/>
    <w:rsid w:val="008768DE"/>
    <w:rsid w:val="00881D8F"/>
    <w:rsid w:val="00881EDB"/>
    <w:rsid w:val="00882263"/>
    <w:rsid w:val="0088266E"/>
    <w:rsid w:val="00882EDD"/>
    <w:rsid w:val="00883C8C"/>
    <w:rsid w:val="00884214"/>
    <w:rsid w:val="00884FE8"/>
    <w:rsid w:val="008863AD"/>
    <w:rsid w:val="00886AA2"/>
    <w:rsid w:val="00887F8A"/>
    <w:rsid w:val="008906F3"/>
    <w:rsid w:val="00891200"/>
    <w:rsid w:val="0089150F"/>
    <w:rsid w:val="00891DC0"/>
    <w:rsid w:val="00892765"/>
    <w:rsid w:val="00893165"/>
    <w:rsid w:val="00893DF8"/>
    <w:rsid w:val="00894C4A"/>
    <w:rsid w:val="0089547C"/>
    <w:rsid w:val="0089571A"/>
    <w:rsid w:val="00895F92"/>
    <w:rsid w:val="00896117"/>
    <w:rsid w:val="00896573"/>
    <w:rsid w:val="00896E88"/>
    <w:rsid w:val="00896FB5"/>
    <w:rsid w:val="0089755E"/>
    <w:rsid w:val="00897A87"/>
    <w:rsid w:val="00897DFB"/>
    <w:rsid w:val="008A14D4"/>
    <w:rsid w:val="008A3581"/>
    <w:rsid w:val="008A473A"/>
    <w:rsid w:val="008A7074"/>
    <w:rsid w:val="008A733E"/>
    <w:rsid w:val="008B1641"/>
    <w:rsid w:val="008B1E5B"/>
    <w:rsid w:val="008B200C"/>
    <w:rsid w:val="008B25F3"/>
    <w:rsid w:val="008B2D28"/>
    <w:rsid w:val="008B2FB2"/>
    <w:rsid w:val="008B3296"/>
    <w:rsid w:val="008B3FC1"/>
    <w:rsid w:val="008B487D"/>
    <w:rsid w:val="008B4A05"/>
    <w:rsid w:val="008B50A1"/>
    <w:rsid w:val="008B5AA1"/>
    <w:rsid w:val="008B5E1C"/>
    <w:rsid w:val="008B5EB6"/>
    <w:rsid w:val="008B6622"/>
    <w:rsid w:val="008B710B"/>
    <w:rsid w:val="008B7C86"/>
    <w:rsid w:val="008B7EE2"/>
    <w:rsid w:val="008C1CE1"/>
    <w:rsid w:val="008C2B57"/>
    <w:rsid w:val="008C30C9"/>
    <w:rsid w:val="008C35DA"/>
    <w:rsid w:val="008C400B"/>
    <w:rsid w:val="008C4247"/>
    <w:rsid w:val="008C6956"/>
    <w:rsid w:val="008C6BD9"/>
    <w:rsid w:val="008C7FA9"/>
    <w:rsid w:val="008D0094"/>
    <w:rsid w:val="008D0CA2"/>
    <w:rsid w:val="008D1797"/>
    <w:rsid w:val="008D1C55"/>
    <w:rsid w:val="008D27ED"/>
    <w:rsid w:val="008D2BC5"/>
    <w:rsid w:val="008D3300"/>
    <w:rsid w:val="008D3ADE"/>
    <w:rsid w:val="008D4070"/>
    <w:rsid w:val="008D4684"/>
    <w:rsid w:val="008D55F2"/>
    <w:rsid w:val="008D5D5A"/>
    <w:rsid w:val="008D5E0B"/>
    <w:rsid w:val="008D741E"/>
    <w:rsid w:val="008E0677"/>
    <w:rsid w:val="008E0DE2"/>
    <w:rsid w:val="008E1451"/>
    <w:rsid w:val="008E195B"/>
    <w:rsid w:val="008E2EB1"/>
    <w:rsid w:val="008E3464"/>
    <w:rsid w:val="008E37D7"/>
    <w:rsid w:val="008E40ED"/>
    <w:rsid w:val="008E423F"/>
    <w:rsid w:val="008E434C"/>
    <w:rsid w:val="008E51C4"/>
    <w:rsid w:val="008E5665"/>
    <w:rsid w:val="008E59DC"/>
    <w:rsid w:val="008F04E4"/>
    <w:rsid w:val="008F26F0"/>
    <w:rsid w:val="008F3CFA"/>
    <w:rsid w:val="008F4DDB"/>
    <w:rsid w:val="008F53D6"/>
    <w:rsid w:val="008F5546"/>
    <w:rsid w:val="008F60E9"/>
    <w:rsid w:val="008F7C88"/>
    <w:rsid w:val="009011E0"/>
    <w:rsid w:val="00901752"/>
    <w:rsid w:val="00902074"/>
    <w:rsid w:val="00903730"/>
    <w:rsid w:val="0090386E"/>
    <w:rsid w:val="00905592"/>
    <w:rsid w:val="009055C4"/>
    <w:rsid w:val="00910398"/>
    <w:rsid w:val="00910832"/>
    <w:rsid w:val="009119A2"/>
    <w:rsid w:val="00911A3C"/>
    <w:rsid w:val="00912450"/>
    <w:rsid w:val="009130BF"/>
    <w:rsid w:val="0091377D"/>
    <w:rsid w:val="00915DDC"/>
    <w:rsid w:val="0091735A"/>
    <w:rsid w:val="009234DE"/>
    <w:rsid w:val="0092478A"/>
    <w:rsid w:val="00927956"/>
    <w:rsid w:val="00927B4E"/>
    <w:rsid w:val="00930766"/>
    <w:rsid w:val="00930B2A"/>
    <w:rsid w:val="00930C19"/>
    <w:rsid w:val="00931860"/>
    <w:rsid w:val="00932268"/>
    <w:rsid w:val="00934300"/>
    <w:rsid w:val="0093535D"/>
    <w:rsid w:val="0093695C"/>
    <w:rsid w:val="0093710A"/>
    <w:rsid w:val="009373DE"/>
    <w:rsid w:val="00941893"/>
    <w:rsid w:val="00942E02"/>
    <w:rsid w:val="00943F04"/>
    <w:rsid w:val="009445A7"/>
    <w:rsid w:val="00945502"/>
    <w:rsid w:val="009457ED"/>
    <w:rsid w:val="0094774F"/>
    <w:rsid w:val="009500C9"/>
    <w:rsid w:val="00950641"/>
    <w:rsid w:val="0095206A"/>
    <w:rsid w:val="00952CB3"/>
    <w:rsid w:val="00952E98"/>
    <w:rsid w:val="00952EFB"/>
    <w:rsid w:val="00953204"/>
    <w:rsid w:val="009533DC"/>
    <w:rsid w:val="00953453"/>
    <w:rsid w:val="00954407"/>
    <w:rsid w:val="00954E95"/>
    <w:rsid w:val="00955DB3"/>
    <w:rsid w:val="00956806"/>
    <w:rsid w:val="00957A6F"/>
    <w:rsid w:val="00960E99"/>
    <w:rsid w:val="00961A6C"/>
    <w:rsid w:val="009624D9"/>
    <w:rsid w:val="009631F3"/>
    <w:rsid w:val="009632F4"/>
    <w:rsid w:val="00963AA7"/>
    <w:rsid w:val="00964A2D"/>
    <w:rsid w:val="00964D6A"/>
    <w:rsid w:val="00964F57"/>
    <w:rsid w:val="00965148"/>
    <w:rsid w:val="00965573"/>
    <w:rsid w:val="00966304"/>
    <w:rsid w:val="00966ECD"/>
    <w:rsid w:val="00966F38"/>
    <w:rsid w:val="009710AF"/>
    <w:rsid w:val="0097172E"/>
    <w:rsid w:val="00971772"/>
    <w:rsid w:val="00971AC9"/>
    <w:rsid w:val="00971D6C"/>
    <w:rsid w:val="0097254F"/>
    <w:rsid w:val="00972E00"/>
    <w:rsid w:val="00973625"/>
    <w:rsid w:val="009737FE"/>
    <w:rsid w:val="00973CD6"/>
    <w:rsid w:val="009757AD"/>
    <w:rsid w:val="00975A01"/>
    <w:rsid w:val="009773C8"/>
    <w:rsid w:val="00977ADB"/>
    <w:rsid w:val="009810EB"/>
    <w:rsid w:val="00982331"/>
    <w:rsid w:val="009833FC"/>
    <w:rsid w:val="0098359A"/>
    <w:rsid w:val="00984FD0"/>
    <w:rsid w:val="009858B5"/>
    <w:rsid w:val="009863E3"/>
    <w:rsid w:val="00986C38"/>
    <w:rsid w:val="00987AA9"/>
    <w:rsid w:val="00987CFC"/>
    <w:rsid w:val="00990875"/>
    <w:rsid w:val="00990996"/>
    <w:rsid w:val="0099192F"/>
    <w:rsid w:val="00991F09"/>
    <w:rsid w:val="009922A1"/>
    <w:rsid w:val="00992452"/>
    <w:rsid w:val="00993266"/>
    <w:rsid w:val="009947F2"/>
    <w:rsid w:val="009958BB"/>
    <w:rsid w:val="009963DF"/>
    <w:rsid w:val="00996C14"/>
    <w:rsid w:val="009975B3"/>
    <w:rsid w:val="00997AAD"/>
    <w:rsid w:val="009A000D"/>
    <w:rsid w:val="009A01F7"/>
    <w:rsid w:val="009A1035"/>
    <w:rsid w:val="009A1AE7"/>
    <w:rsid w:val="009A1BEA"/>
    <w:rsid w:val="009A2678"/>
    <w:rsid w:val="009A29A1"/>
    <w:rsid w:val="009A2DCC"/>
    <w:rsid w:val="009A34CC"/>
    <w:rsid w:val="009A3F33"/>
    <w:rsid w:val="009A401C"/>
    <w:rsid w:val="009A40B1"/>
    <w:rsid w:val="009A5632"/>
    <w:rsid w:val="009A5AF4"/>
    <w:rsid w:val="009A7D83"/>
    <w:rsid w:val="009B2225"/>
    <w:rsid w:val="009B2F00"/>
    <w:rsid w:val="009B32A1"/>
    <w:rsid w:val="009B481D"/>
    <w:rsid w:val="009B4F8D"/>
    <w:rsid w:val="009B5752"/>
    <w:rsid w:val="009B606A"/>
    <w:rsid w:val="009B6FE0"/>
    <w:rsid w:val="009B74E4"/>
    <w:rsid w:val="009B7670"/>
    <w:rsid w:val="009B78F6"/>
    <w:rsid w:val="009B7AE9"/>
    <w:rsid w:val="009C0CD6"/>
    <w:rsid w:val="009C1350"/>
    <w:rsid w:val="009C1CAF"/>
    <w:rsid w:val="009C2BDE"/>
    <w:rsid w:val="009C3974"/>
    <w:rsid w:val="009C4A3A"/>
    <w:rsid w:val="009C54B7"/>
    <w:rsid w:val="009C56EF"/>
    <w:rsid w:val="009C5E1C"/>
    <w:rsid w:val="009C6E72"/>
    <w:rsid w:val="009C7905"/>
    <w:rsid w:val="009D0599"/>
    <w:rsid w:val="009D0B11"/>
    <w:rsid w:val="009D0E9B"/>
    <w:rsid w:val="009D1DE6"/>
    <w:rsid w:val="009D3D6D"/>
    <w:rsid w:val="009D65BB"/>
    <w:rsid w:val="009D6F02"/>
    <w:rsid w:val="009E08E7"/>
    <w:rsid w:val="009E3467"/>
    <w:rsid w:val="009E3757"/>
    <w:rsid w:val="009E38B6"/>
    <w:rsid w:val="009E3CC1"/>
    <w:rsid w:val="009E4D46"/>
    <w:rsid w:val="009E4F95"/>
    <w:rsid w:val="009E510C"/>
    <w:rsid w:val="009E5248"/>
    <w:rsid w:val="009E526D"/>
    <w:rsid w:val="009E725E"/>
    <w:rsid w:val="009E744A"/>
    <w:rsid w:val="009E7A9C"/>
    <w:rsid w:val="009F0044"/>
    <w:rsid w:val="009F06C6"/>
    <w:rsid w:val="009F2CD2"/>
    <w:rsid w:val="009F5826"/>
    <w:rsid w:val="009F596A"/>
    <w:rsid w:val="009F6B16"/>
    <w:rsid w:val="009F73BD"/>
    <w:rsid w:val="00A0010C"/>
    <w:rsid w:val="00A01C4E"/>
    <w:rsid w:val="00A04976"/>
    <w:rsid w:val="00A04A8A"/>
    <w:rsid w:val="00A05B6F"/>
    <w:rsid w:val="00A05F5F"/>
    <w:rsid w:val="00A068F7"/>
    <w:rsid w:val="00A07406"/>
    <w:rsid w:val="00A07699"/>
    <w:rsid w:val="00A11194"/>
    <w:rsid w:val="00A11734"/>
    <w:rsid w:val="00A1184E"/>
    <w:rsid w:val="00A11D45"/>
    <w:rsid w:val="00A12167"/>
    <w:rsid w:val="00A13E18"/>
    <w:rsid w:val="00A15195"/>
    <w:rsid w:val="00A161B4"/>
    <w:rsid w:val="00A165A3"/>
    <w:rsid w:val="00A17997"/>
    <w:rsid w:val="00A17C85"/>
    <w:rsid w:val="00A20235"/>
    <w:rsid w:val="00A20830"/>
    <w:rsid w:val="00A2109E"/>
    <w:rsid w:val="00A22060"/>
    <w:rsid w:val="00A22671"/>
    <w:rsid w:val="00A22D05"/>
    <w:rsid w:val="00A23BE5"/>
    <w:rsid w:val="00A24190"/>
    <w:rsid w:val="00A24B0D"/>
    <w:rsid w:val="00A24E86"/>
    <w:rsid w:val="00A2592F"/>
    <w:rsid w:val="00A25D3E"/>
    <w:rsid w:val="00A268AB"/>
    <w:rsid w:val="00A27929"/>
    <w:rsid w:val="00A27BF3"/>
    <w:rsid w:val="00A305D4"/>
    <w:rsid w:val="00A321C2"/>
    <w:rsid w:val="00A3237A"/>
    <w:rsid w:val="00A32EBC"/>
    <w:rsid w:val="00A33568"/>
    <w:rsid w:val="00A33879"/>
    <w:rsid w:val="00A33EEB"/>
    <w:rsid w:val="00A348F4"/>
    <w:rsid w:val="00A3610A"/>
    <w:rsid w:val="00A3673C"/>
    <w:rsid w:val="00A36D42"/>
    <w:rsid w:val="00A36F7D"/>
    <w:rsid w:val="00A37AC3"/>
    <w:rsid w:val="00A40955"/>
    <w:rsid w:val="00A40C54"/>
    <w:rsid w:val="00A41DC6"/>
    <w:rsid w:val="00A423C8"/>
    <w:rsid w:val="00A4332D"/>
    <w:rsid w:val="00A43ED4"/>
    <w:rsid w:val="00A446D1"/>
    <w:rsid w:val="00A45C24"/>
    <w:rsid w:val="00A46759"/>
    <w:rsid w:val="00A46E9E"/>
    <w:rsid w:val="00A5044D"/>
    <w:rsid w:val="00A50FA1"/>
    <w:rsid w:val="00A51748"/>
    <w:rsid w:val="00A53060"/>
    <w:rsid w:val="00A53409"/>
    <w:rsid w:val="00A537E9"/>
    <w:rsid w:val="00A538BB"/>
    <w:rsid w:val="00A539FB"/>
    <w:rsid w:val="00A555B5"/>
    <w:rsid w:val="00A564C2"/>
    <w:rsid w:val="00A570FB"/>
    <w:rsid w:val="00A572B7"/>
    <w:rsid w:val="00A573C0"/>
    <w:rsid w:val="00A60074"/>
    <w:rsid w:val="00A60550"/>
    <w:rsid w:val="00A61E03"/>
    <w:rsid w:val="00A61F50"/>
    <w:rsid w:val="00A61FA2"/>
    <w:rsid w:val="00A625E4"/>
    <w:rsid w:val="00A6298E"/>
    <w:rsid w:val="00A62BEE"/>
    <w:rsid w:val="00A62EBF"/>
    <w:rsid w:val="00A63D2A"/>
    <w:rsid w:val="00A63F6C"/>
    <w:rsid w:val="00A64D93"/>
    <w:rsid w:val="00A65B33"/>
    <w:rsid w:val="00A661B3"/>
    <w:rsid w:val="00A672F3"/>
    <w:rsid w:val="00A6780E"/>
    <w:rsid w:val="00A67C64"/>
    <w:rsid w:val="00A710B9"/>
    <w:rsid w:val="00A71719"/>
    <w:rsid w:val="00A7207C"/>
    <w:rsid w:val="00A7231B"/>
    <w:rsid w:val="00A72DAB"/>
    <w:rsid w:val="00A72DD9"/>
    <w:rsid w:val="00A7370F"/>
    <w:rsid w:val="00A73DA2"/>
    <w:rsid w:val="00A73FF4"/>
    <w:rsid w:val="00A7459B"/>
    <w:rsid w:val="00A7494E"/>
    <w:rsid w:val="00A76268"/>
    <w:rsid w:val="00A76EA3"/>
    <w:rsid w:val="00A777E1"/>
    <w:rsid w:val="00A8035A"/>
    <w:rsid w:val="00A805A2"/>
    <w:rsid w:val="00A80C53"/>
    <w:rsid w:val="00A81147"/>
    <w:rsid w:val="00A8114C"/>
    <w:rsid w:val="00A81960"/>
    <w:rsid w:val="00A81E16"/>
    <w:rsid w:val="00A8315D"/>
    <w:rsid w:val="00A83724"/>
    <w:rsid w:val="00A83EEC"/>
    <w:rsid w:val="00A84C2B"/>
    <w:rsid w:val="00A85064"/>
    <w:rsid w:val="00A85682"/>
    <w:rsid w:val="00A8713A"/>
    <w:rsid w:val="00A87D98"/>
    <w:rsid w:val="00A900E4"/>
    <w:rsid w:val="00A90B7B"/>
    <w:rsid w:val="00A91392"/>
    <w:rsid w:val="00A91768"/>
    <w:rsid w:val="00A92246"/>
    <w:rsid w:val="00A92859"/>
    <w:rsid w:val="00A93054"/>
    <w:rsid w:val="00A93302"/>
    <w:rsid w:val="00A93EB6"/>
    <w:rsid w:val="00A93F99"/>
    <w:rsid w:val="00A94DE2"/>
    <w:rsid w:val="00AA015F"/>
    <w:rsid w:val="00AA080A"/>
    <w:rsid w:val="00AA1167"/>
    <w:rsid w:val="00AA23E4"/>
    <w:rsid w:val="00AA258F"/>
    <w:rsid w:val="00AA2EA6"/>
    <w:rsid w:val="00AA3065"/>
    <w:rsid w:val="00AA3C75"/>
    <w:rsid w:val="00AA4486"/>
    <w:rsid w:val="00AA4AFB"/>
    <w:rsid w:val="00AA6128"/>
    <w:rsid w:val="00AA6140"/>
    <w:rsid w:val="00AA6CFA"/>
    <w:rsid w:val="00AA7F9B"/>
    <w:rsid w:val="00AB086C"/>
    <w:rsid w:val="00AB1AA3"/>
    <w:rsid w:val="00AB1E5F"/>
    <w:rsid w:val="00AB2800"/>
    <w:rsid w:val="00AB3370"/>
    <w:rsid w:val="00AB3AAB"/>
    <w:rsid w:val="00AB60B4"/>
    <w:rsid w:val="00AB64E4"/>
    <w:rsid w:val="00AB6BFD"/>
    <w:rsid w:val="00AB78C8"/>
    <w:rsid w:val="00AC1310"/>
    <w:rsid w:val="00AC1AC6"/>
    <w:rsid w:val="00AC1FD2"/>
    <w:rsid w:val="00AC260E"/>
    <w:rsid w:val="00AC34C8"/>
    <w:rsid w:val="00AC3627"/>
    <w:rsid w:val="00AC3972"/>
    <w:rsid w:val="00AC50F9"/>
    <w:rsid w:val="00AC5134"/>
    <w:rsid w:val="00AC669E"/>
    <w:rsid w:val="00AC70F4"/>
    <w:rsid w:val="00AC792D"/>
    <w:rsid w:val="00AD11DE"/>
    <w:rsid w:val="00AD188E"/>
    <w:rsid w:val="00AD1B21"/>
    <w:rsid w:val="00AD1FDA"/>
    <w:rsid w:val="00AD2E65"/>
    <w:rsid w:val="00AD6195"/>
    <w:rsid w:val="00AD642F"/>
    <w:rsid w:val="00AD6CDD"/>
    <w:rsid w:val="00AE1F11"/>
    <w:rsid w:val="00AE22EA"/>
    <w:rsid w:val="00AE2C01"/>
    <w:rsid w:val="00AE36E8"/>
    <w:rsid w:val="00AE6684"/>
    <w:rsid w:val="00AE699E"/>
    <w:rsid w:val="00AE6D9E"/>
    <w:rsid w:val="00AE7165"/>
    <w:rsid w:val="00AF0093"/>
    <w:rsid w:val="00AF067F"/>
    <w:rsid w:val="00AF06D8"/>
    <w:rsid w:val="00AF095D"/>
    <w:rsid w:val="00AF13B5"/>
    <w:rsid w:val="00AF1D91"/>
    <w:rsid w:val="00AF2FD8"/>
    <w:rsid w:val="00AF47D3"/>
    <w:rsid w:val="00AF5E8C"/>
    <w:rsid w:val="00AF7B44"/>
    <w:rsid w:val="00B00B63"/>
    <w:rsid w:val="00B00F90"/>
    <w:rsid w:val="00B016F5"/>
    <w:rsid w:val="00B018FF"/>
    <w:rsid w:val="00B019CA"/>
    <w:rsid w:val="00B02A29"/>
    <w:rsid w:val="00B0464A"/>
    <w:rsid w:val="00B04C46"/>
    <w:rsid w:val="00B04ECD"/>
    <w:rsid w:val="00B05869"/>
    <w:rsid w:val="00B058E2"/>
    <w:rsid w:val="00B0677D"/>
    <w:rsid w:val="00B06883"/>
    <w:rsid w:val="00B0695A"/>
    <w:rsid w:val="00B06E05"/>
    <w:rsid w:val="00B100C4"/>
    <w:rsid w:val="00B10B48"/>
    <w:rsid w:val="00B119CF"/>
    <w:rsid w:val="00B11A4A"/>
    <w:rsid w:val="00B12D5D"/>
    <w:rsid w:val="00B131EB"/>
    <w:rsid w:val="00B1343F"/>
    <w:rsid w:val="00B1452B"/>
    <w:rsid w:val="00B16353"/>
    <w:rsid w:val="00B16367"/>
    <w:rsid w:val="00B16B55"/>
    <w:rsid w:val="00B17408"/>
    <w:rsid w:val="00B1749D"/>
    <w:rsid w:val="00B2013B"/>
    <w:rsid w:val="00B206D8"/>
    <w:rsid w:val="00B209CB"/>
    <w:rsid w:val="00B20A6C"/>
    <w:rsid w:val="00B215CF"/>
    <w:rsid w:val="00B2166D"/>
    <w:rsid w:val="00B22905"/>
    <w:rsid w:val="00B25031"/>
    <w:rsid w:val="00B2574E"/>
    <w:rsid w:val="00B259C6"/>
    <w:rsid w:val="00B25A69"/>
    <w:rsid w:val="00B270B3"/>
    <w:rsid w:val="00B271C6"/>
    <w:rsid w:val="00B317F7"/>
    <w:rsid w:val="00B318B8"/>
    <w:rsid w:val="00B319C3"/>
    <w:rsid w:val="00B3256E"/>
    <w:rsid w:val="00B33858"/>
    <w:rsid w:val="00B338E0"/>
    <w:rsid w:val="00B34236"/>
    <w:rsid w:val="00B3523B"/>
    <w:rsid w:val="00B355F0"/>
    <w:rsid w:val="00B36BF1"/>
    <w:rsid w:val="00B41201"/>
    <w:rsid w:val="00B417A1"/>
    <w:rsid w:val="00B41E8E"/>
    <w:rsid w:val="00B42D7C"/>
    <w:rsid w:val="00B43131"/>
    <w:rsid w:val="00B43C96"/>
    <w:rsid w:val="00B44419"/>
    <w:rsid w:val="00B463F2"/>
    <w:rsid w:val="00B47F69"/>
    <w:rsid w:val="00B50320"/>
    <w:rsid w:val="00B50DC5"/>
    <w:rsid w:val="00B50FB2"/>
    <w:rsid w:val="00B5175E"/>
    <w:rsid w:val="00B51A65"/>
    <w:rsid w:val="00B51DFA"/>
    <w:rsid w:val="00B5300D"/>
    <w:rsid w:val="00B53428"/>
    <w:rsid w:val="00B53D7B"/>
    <w:rsid w:val="00B546C5"/>
    <w:rsid w:val="00B55B08"/>
    <w:rsid w:val="00B57DE4"/>
    <w:rsid w:val="00B6130B"/>
    <w:rsid w:val="00B62BD3"/>
    <w:rsid w:val="00B6359B"/>
    <w:rsid w:val="00B6543F"/>
    <w:rsid w:val="00B65F8A"/>
    <w:rsid w:val="00B67E59"/>
    <w:rsid w:val="00B67FDF"/>
    <w:rsid w:val="00B710D6"/>
    <w:rsid w:val="00B713E0"/>
    <w:rsid w:val="00B72C6E"/>
    <w:rsid w:val="00B74E01"/>
    <w:rsid w:val="00B75D65"/>
    <w:rsid w:val="00B770D3"/>
    <w:rsid w:val="00B803B8"/>
    <w:rsid w:val="00B81535"/>
    <w:rsid w:val="00B81E06"/>
    <w:rsid w:val="00B81E15"/>
    <w:rsid w:val="00B81E66"/>
    <w:rsid w:val="00B82892"/>
    <w:rsid w:val="00B831B2"/>
    <w:rsid w:val="00B83A01"/>
    <w:rsid w:val="00B8480A"/>
    <w:rsid w:val="00B84E17"/>
    <w:rsid w:val="00B851B8"/>
    <w:rsid w:val="00B872A4"/>
    <w:rsid w:val="00B901EA"/>
    <w:rsid w:val="00B923EA"/>
    <w:rsid w:val="00B928CD"/>
    <w:rsid w:val="00B92CA4"/>
    <w:rsid w:val="00B930F0"/>
    <w:rsid w:val="00B9394F"/>
    <w:rsid w:val="00B93BC1"/>
    <w:rsid w:val="00B96671"/>
    <w:rsid w:val="00B97700"/>
    <w:rsid w:val="00B97FC8"/>
    <w:rsid w:val="00BA106D"/>
    <w:rsid w:val="00BA15BC"/>
    <w:rsid w:val="00BA1874"/>
    <w:rsid w:val="00BA275C"/>
    <w:rsid w:val="00BA2E85"/>
    <w:rsid w:val="00BA3A7C"/>
    <w:rsid w:val="00BA3BC2"/>
    <w:rsid w:val="00BA3D6C"/>
    <w:rsid w:val="00BA421F"/>
    <w:rsid w:val="00BA4E06"/>
    <w:rsid w:val="00BA688F"/>
    <w:rsid w:val="00BA79E9"/>
    <w:rsid w:val="00BB00A8"/>
    <w:rsid w:val="00BB04B2"/>
    <w:rsid w:val="00BB267E"/>
    <w:rsid w:val="00BB274B"/>
    <w:rsid w:val="00BB2D1D"/>
    <w:rsid w:val="00BB2D62"/>
    <w:rsid w:val="00BB36C7"/>
    <w:rsid w:val="00BB37BE"/>
    <w:rsid w:val="00BB4956"/>
    <w:rsid w:val="00BB4B6D"/>
    <w:rsid w:val="00BB4BC7"/>
    <w:rsid w:val="00BB60E8"/>
    <w:rsid w:val="00BB611C"/>
    <w:rsid w:val="00BC0446"/>
    <w:rsid w:val="00BC0A81"/>
    <w:rsid w:val="00BC12E9"/>
    <w:rsid w:val="00BC185E"/>
    <w:rsid w:val="00BC292D"/>
    <w:rsid w:val="00BC37F0"/>
    <w:rsid w:val="00BC3C7C"/>
    <w:rsid w:val="00BC5565"/>
    <w:rsid w:val="00BC5FB3"/>
    <w:rsid w:val="00BC69C2"/>
    <w:rsid w:val="00BC7C96"/>
    <w:rsid w:val="00BD064D"/>
    <w:rsid w:val="00BD0891"/>
    <w:rsid w:val="00BD3AA1"/>
    <w:rsid w:val="00BD6BC5"/>
    <w:rsid w:val="00BD7C6C"/>
    <w:rsid w:val="00BE0361"/>
    <w:rsid w:val="00BE121F"/>
    <w:rsid w:val="00BE179B"/>
    <w:rsid w:val="00BE22A2"/>
    <w:rsid w:val="00BE341E"/>
    <w:rsid w:val="00BE4113"/>
    <w:rsid w:val="00BE4460"/>
    <w:rsid w:val="00BE5965"/>
    <w:rsid w:val="00BE626E"/>
    <w:rsid w:val="00BE666C"/>
    <w:rsid w:val="00BE6A08"/>
    <w:rsid w:val="00BE71EA"/>
    <w:rsid w:val="00BE76FA"/>
    <w:rsid w:val="00BE7761"/>
    <w:rsid w:val="00BE7D64"/>
    <w:rsid w:val="00BF005B"/>
    <w:rsid w:val="00BF0D51"/>
    <w:rsid w:val="00BF0EE2"/>
    <w:rsid w:val="00BF1D08"/>
    <w:rsid w:val="00BF3D15"/>
    <w:rsid w:val="00BF4655"/>
    <w:rsid w:val="00BF4D3E"/>
    <w:rsid w:val="00BF54BF"/>
    <w:rsid w:val="00BF6E96"/>
    <w:rsid w:val="00C00F6A"/>
    <w:rsid w:val="00C02614"/>
    <w:rsid w:val="00C02B6A"/>
    <w:rsid w:val="00C02DB0"/>
    <w:rsid w:val="00C03303"/>
    <w:rsid w:val="00C04182"/>
    <w:rsid w:val="00C04418"/>
    <w:rsid w:val="00C04488"/>
    <w:rsid w:val="00C04945"/>
    <w:rsid w:val="00C05007"/>
    <w:rsid w:val="00C05E98"/>
    <w:rsid w:val="00C069D7"/>
    <w:rsid w:val="00C07920"/>
    <w:rsid w:val="00C07E8E"/>
    <w:rsid w:val="00C10C3C"/>
    <w:rsid w:val="00C11061"/>
    <w:rsid w:val="00C13078"/>
    <w:rsid w:val="00C1344F"/>
    <w:rsid w:val="00C13C3C"/>
    <w:rsid w:val="00C13CC2"/>
    <w:rsid w:val="00C13DFF"/>
    <w:rsid w:val="00C1557C"/>
    <w:rsid w:val="00C15D4C"/>
    <w:rsid w:val="00C15E9B"/>
    <w:rsid w:val="00C16184"/>
    <w:rsid w:val="00C17807"/>
    <w:rsid w:val="00C2062F"/>
    <w:rsid w:val="00C20C32"/>
    <w:rsid w:val="00C20CD0"/>
    <w:rsid w:val="00C21C45"/>
    <w:rsid w:val="00C23072"/>
    <w:rsid w:val="00C232DB"/>
    <w:rsid w:val="00C23640"/>
    <w:rsid w:val="00C2558E"/>
    <w:rsid w:val="00C26090"/>
    <w:rsid w:val="00C30B13"/>
    <w:rsid w:val="00C312B2"/>
    <w:rsid w:val="00C31803"/>
    <w:rsid w:val="00C32F00"/>
    <w:rsid w:val="00C3338F"/>
    <w:rsid w:val="00C346B6"/>
    <w:rsid w:val="00C34AE1"/>
    <w:rsid w:val="00C35C42"/>
    <w:rsid w:val="00C37427"/>
    <w:rsid w:val="00C375C4"/>
    <w:rsid w:val="00C407FF"/>
    <w:rsid w:val="00C4088E"/>
    <w:rsid w:val="00C40972"/>
    <w:rsid w:val="00C40AAA"/>
    <w:rsid w:val="00C40EF7"/>
    <w:rsid w:val="00C40EFA"/>
    <w:rsid w:val="00C41635"/>
    <w:rsid w:val="00C42B98"/>
    <w:rsid w:val="00C42EDC"/>
    <w:rsid w:val="00C43B46"/>
    <w:rsid w:val="00C442C2"/>
    <w:rsid w:val="00C45B1D"/>
    <w:rsid w:val="00C463BF"/>
    <w:rsid w:val="00C4679C"/>
    <w:rsid w:val="00C46B95"/>
    <w:rsid w:val="00C46BF8"/>
    <w:rsid w:val="00C46E6F"/>
    <w:rsid w:val="00C46FD9"/>
    <w:rsid w:val="00C500D1"/>
    <w:rsid w:val="00C5144A"/>
    <w:rsid w:val="00C52E0F"/>
    <w:rsid w:val="00C53AA3"/>
    <w:rsid w:val="00C541C7"/>
    <w:rsid w:val="00C54B1B"/>
    <w:rsid w:val="00C550C5"/>
    <w:rsid w:val="00C55283"/>
    <w:rsid w:val="00C55560"/>
    <w:rsid w:val="00C55894"/>
    <w:rsid w:val="00C55F71"/>
    <w:rsid w:val="00C5703A"/>
    <w:rsid w:val="00C5713E"/>
    <w:rsid w:val="00C57A8C"/>
    <w:rsid w:val="00C60892"/>
    <w:rsid w:val="00C61C03"/>
    <w:rsid w:val="00C62281"/>
    <w:rsid w:val="00C63D01"/>
    <w:rsid w:val="00C6493E"/>
    <w:rsid w:val="00C64C9C"/>
    <w:rsid w:val="00C6542B"/>
    <w:rsid w:val="00C65899"/>
    <w:rsid w:val="00C66DCF"/>
    <w:rsid w:val="00C714CF"/>
    <w:rsid w:val="00C714DE"/>
    <w:rsid w:val="00C73311"/>
    <w:rsid w:val="00C74217"/>
    <w:rsid w:val="00C74257"/>
    <w:rsid w:val="00C747E7"/>
    <w:rsid w:val="00C753B4"/>
    <w:rsid w:val="00C75428"/>
    <w:rsid w:val="00C75CA1"/>
    <w:rsid w:val="00C776F8"/>
    <w:rsid w:val="00C80215"/>
    <w:rsid w:val="00C80F25"/>
    <w:rsid w:val="00C81FD2"/>
    <w:rsid w:val="00C82D72"/>
    <w:rsid w:val="00C842CE"/>
    <w:rsid w:val="00C84789"/>
    <w:rsid w:val="00C85818"/>
    <w:rsid w:val="00C8769E"/>
    <w:rsid w:val="00C87810"/>
    <w:rsid w:val="00C901AC"/>
    <w:rsid w:val="00C905BB"/>
    <w:rsid w:val="00C9103E"/>
    <w:rsid w:val="00C91506"/>
    <w:rsid w:val="00C9176A"/>
    <w:rsid w:val="00C91C0A"/>
    <w:rsid w:val="00C91E83"/>
    <w:rsid w:val="00C91F79"/>
    <w:rsid w:val="00C928CE"/>
    <w:rsid w:val="00C928F5"/>
    <w:rsid w:val="00C92BE2"/>
    <w:rsid w:val="00C92FE4"/>
    <w:rsid w:val="00C938B1"/>
    <w:rsid w:val="00C93924"/>
    <w:rsid w:val="00C93959"/>
    <w:rsid w:val="00C95388"/>
    <w:rsid w:val="00C957EC"/>
    <w:rsid w:val="00C95C30"/>
    <w:rsid w:val="00C96127"/>
    <w:rsid w:val="00C96A07"/>
    <w:rsid w:val="00C96B35"/>
    <w:rsid w:val="00C97090"/>
    <w:rsid w:val="00C974C5"/>
    <w:rsid w:val="00C977F3"/>
    <w:rsid w:val="00C97AD1"/>
    <w:rsid w:val="00C97C93"/>
    <w:rsid w:val="00CA0FE4"/>
    <w:rsid w:val="00CA17BC"/>
    <w:rsid w:val="00CA39BF"/>
    <w:rsid w:val="00CA4221"/>
    <w:rsid w:val="00CA4253"/>
    <w:rsid w:val="00CA4E8F"/>
    <w:rsid w:val="00CA7B73"/>
    <w:rsid w:val="00CB1E72"/>
    <w:rsid w:val="00CB2DF4"/>
    <w:rsid w:val="00CB364A"/>
    <w:rsid w:val="00CB4A24"/>
    <w:rsid w:val="00CB5C03"/>
    <w:rsid w:val="00CB5CFD"/>
    <w:rsid w:val="00CB64C4"/>
    <w:rsid w:val="00CB7EC2"/>
    <w:rsid w:val="00CC02CC"/>
    <w:rsid w:val="00CC0392"/>
    <w:rsid w:val="00CC0E38"/>
    <w:rsid w:val="00CC0E62"/>
    <w:rsid w:val="00CC0E82"/>
    <w:rsid w:val="00CC0F66"/>
    <w:rsid w:val="00CC12B6"/>
    <w:rsid w:val="00CC1B28"/>
    <w:rsid w:val="00CC21C3"/>
    <w:rsid w:val="00CC28D9"/>
    <w:rsid w:val="00CC2B7F"/>
    <w:rsid w:val="00CC3483"/>
    <w:rsid w:val="00CC36BC"/>
    <w:rsid w:val="00CC42D2"/>
    <w:rsid w:val="00CC4F75"/>
    <w:rsid w:val="00CC5258"/>
    <w:rsid w:val="00CC60F6"/>
    <w:rsid w:val="00CC70B6"/>
    <w:rsid w:val="00CC72A6"/>
    <w:rsid w:val="00CC7DA1"/>
    <w:rsid w:val="00CC7FC1"/>
    <w:rsid w:val="00CD0636"/>
    <w:rsid w:val="00CD08D4"/>
    <w:rsid w:val="00CD10B4"/>
    <w:rsid w:val="00CD23AB"/>
    <w:rsid w:val="00CD32E8"/>
    <w:rsid w:val="00CD42B5"/>
    <w:rsid w:val="00CD473C"/>
    <w:rsid w:val="00CD4E1F"/>
    <w:rsid w:val="00CD5CCF"/>
    <w:rsid w:val="00CD603C"/>
    <w:rsid w:val="00CD60EC"/>
    <w:rsid w:val="00CD69FB"/>
    <w:rsid w:val="00CE11B5"/>
    <w:rsid w:val="00CE271A"/>
    <w:rsid w:val="00CE2970"/>
    <w:rsid w:val="00CE2B59"/>
    <w:rsid w:val="00CE3AC0"/>
    <w:rsid w:val="00CE4FEA"/>
    <w:rsid w:val="00CE51BC"/>
    <w:rsid w:val="00CE5D6B"/>
    <w:rsid w:val="00CE6431"/>
    <w:rsid w:val="00CE7723"/>
    <w:rsid w:val="00CE7E98"/>
    <w:rsid w:val="00CF0361"/>
    <w:rsid w:val="00CF2EF0"/>
    <w:rsid w:val="00CF34DD"/>
    <w:rsid w:val="00CF4A18"/>
    <w:rsid w:val="00CF4A19"/>
    <w:rsid w:val="00CF5941"/>
    <w:rsid w:val="00CF67FE"/>
    <w:rsid w:val="00CF7CEB"/>
    <w:rsid w:val="00CF7DAE"/>
    <w:rsid w:val="00CF7E46"/>
    <w:rsid w:val="00D0031C"/>
    <w:rsid w:val="00D01120"/>
    <w:rsid w:val="00D01432"/>
    <w:rsid w:val="00D0227B"/>
    <w:rsid w:val="00D02835"/>
    <w:rsid w:val="00D02D63"/>
    <w:rsid w:val="00D055B7"/>
    <w:rsid w:val="00D057E6"/>
    <w:rsid w:val="00D06654"/>
    <w:rsid w:val="00D06D68"/>
    <w:rsid w:val="00D078AF"/>
    <w:rsid w:val="00D12411"/>
    <w:rsid w:val="00D126F4"/>
    <w:rsid w:val="00D12AA8"/>
    <w:rsid w:val="00D13068"/>
    <w:rsid w:val="00D1307B"/>
    <w:rsid w:val="00D15795"/>
    <w:rsid w:val="00D15D49"/>
    <w:rsid w:val="00D15E77"/>
    <w:rsid w:val="00D16689"/>
    <w:rsid w:val="00D2121B"/>
    <w:rsid w:val="00D2150F"/>
    <w:rsid w:val="00D24316"/>
    <w:rsid w:val="00D25B2A"/>
    <w:rsid w:val="00D260E1"/>
    <w:rsid w:val="00D26A7C"/>
    <w:rsid w:val="00D26D9D"/>
    <w:rsid w:val="00D27112"/>
    <w:rsid w:val="00D271C8"/>
    <w:rsid w:val="00D272DB"/>
    <w:rsid w:val="00D306AD"/>
    <w:rsid w:val="00D30E81"/>
    <w:rsid w:val="00D31131"/>
    <w:rsid w:val="00D32347"/>
    <w:rsid w:val="00D32A00"/>
    <w:rsid w:val="00D33CFF"/>
    <w:rsid w:val="00D36552"/>
    <w:rsid w:val="00D3687D"/>
    <w:rsid w:val="00D370A9"/>
    <w:rsid w:val="00D37ACD"/>
    <w:rsid w:val="00D403F7"/>
    <w:rsid w:val="00D4095F"/>
    <w:rsid w:val="00D40B88"/>
    <w:rsid w:val="00D410DC"/>
    <w:rsid w:val="00D4124B"/>
    <w:rsid w:val="00D41433"/>
    <w:rsid w:val="00D43148"/>
    <w:rsid w:val="00D43DEB"/>
    <w:rsid w:val="00D454A1"/>
    <w:rsid w:val="00D45E5D"/>
    <w:rsid w:val="00D4625B"/>
    <w:rsid w:val="00D4686E"/>
    <w:rsid w:val="00D47CBD"/>
    <w:rsid w:val="00D47E72"/>
    <w:rsid w:val="00D5070D"/>
    <w:rsid w:val="00D5198F"/>
    <w:rsid w:val="00D52AFF"/>
    <w:rsid w:val="00D5501B"/>
    <w:rsid w:val="00D57D53"/>
    <w:rsid w:val="00D60582"/>
    <w:rsid w:val="00D60BB8"/>
    <w:rsid w:val="00D61884"/>
    <w:rsid w:val="00D6352E"/>
    <w:rsid w:val="00D6355A"/>
    <w:rsid w:val="00D63BEC"/>
    <w:rsid w:val="00D6479B"/>
    <w:rsid w:val="00D647C7"/>
    <w:rsid w:val="00D648CE"/>
    <w:rsid w:val="00D6519A"/>
    <w:rsid w:val="00D6675C"/>
    <w:rsid w:val="00D67DDE"/>
    <w:rsid w:val="00D700B9"/>
    <w:rsid w:val="00D70320"/>
    <w:rsid w:val="00D703B0"/>
    <w:rsid w:val="00D718C9"/>
    <w:rsid w:val="00D718D9"/>
    <w:rsid w:val="00D7209E"/>
    <w:rsid w:val="00D73323"/>
    <w:rsid w:val="00D74E2C"/>
    <w:rsid w:val="00D762FA"/>
    <w:rsid w:val="00D76AFD"/>
    <w:rsid w:val="00D77B42"/>
    <w:rsid w:val="00D8147E"/>
    <w:rsid w:val="00D817E3"/>
    <w:rsid w:val="00D841CA"/>
    <w:rsid w:val="00D84919"/>
    <w:rsid w:val="00D84F0F"/>
    <w:rsid w:val="00D85746"/>
    <w:rsid w:val="00D86B98"/>
    <w:rsid w:val="00D87AED"/>
    <w:rsid w:val="00D87B53"/>
    <w:rsid w:val="00D906BA"/>
    <w:rsid w:val="00D91914"/>
    <w:rsid w:val="00D91AB8"/>
    <w:rsid w:val="00D92610"/>
    <w:rsid w:val="00D92836"/>
    <w:rsid w:val="00D92B6C"/>
    <w:rsid w:val="00D9335D"/>
    <w:rsid w:val="00D94DA1"/>
    <w:rsid w:val="00D94E84"/>
    <w:rsid w:val="00D95604"/>
    <w:rsid w:val="00D9566F"/>
    <w:rsid w:val="00D959E9"/>
    <w:rsid w:val="00D961D2"/>
    <w:rsid w:val="00D96F17"/>
    <w:rsid w:val="00D97A0A"/>
    <w:rsid w:val="00D97CA3"/>
    <w:rsid w:val="00DA0595"/>
    <w:rsid w:val="00DA08A3"/>
    <w:rsid w:val="00DA1046"/>
    <w:rsid w:val="00DA16D8"/>
    <w:rsid w:val="00DA3076"/>
    <w:rsid w:val="00DA38AC"/>
    <w:rsid w:val="00DA5A83"/>
    <w:rsid w:val="00DA68AF"/>
    <w:rsid w:val="00DB08B4"/>
    <w:rsid w:val="00DB0B38"/>
    <w:rsid w:val="00DB1A34"/>
    <w:rsid w:val="00DB1F0A"/>
    <w:rsid w:val="00DB272D"/>
    <w:rsid w:val="00DB2CEF"/>
    <w:rsid w:val="00DB361D"/>
    <w:rsid w:val="00DB503F"/>
    <w:rsid w:val="00DB5F39"/>
    <w:rsid w:val="00DB6093"/>
    <w:rsid w:val="00DB645C"/>
    <w:rsid w:val="00DB684A"/>
    <w:rsid w:val="00DB7559"/>
    <w:rsid w:val="00DB7B4E"/>
    <w:rsid w:val="00DC015D"/>
    <w:rsid w:val="00DC0CAE"/>
    <w:rsid w:val="00DC0D14"/>
    <w:rsid w:val="00DC1450"/>
    <w:rsid w:val="00DC2D64"/>
    <w:rsid w:val="00DC44CA"/>
    <w:rsid w:val="00DC4F1A"/>
    <w:rsid w:val="00DC55F1"/>
    <w:rsid w:val="00DC643B"/>
    <w:rsid w:val="00DC6F29"/>
    <w:rsid w:val="00DC7616"/>
    <w:rsid w:val="00DC77C5"/>
    <w:rsid w:val="00DC7854"/>
    <w:rsid w:val="00DC7B09"/>
    <w:rsid w:val="00DC7D38"/>
    <w:rsid w:val="00DD0AC6"/>
    <w:rsid w:val="00DD0F32"/>
    <w:rsid w:val="00DD17E6"/>
    <w:rsid w:val="00DD2463"/>
    <w:rsid w:val="00DD294D"/>
    <w:rsid w:val="00DD2B74"/>
    <w:rsid w:val="00DD2E5B"/>
    <w:rsid w:val="00DD31FF"/>
    <w:rsid w:val="00DD39D7"/>
    <w:rsid w:val="00DD3CE9"/>
    <w:rsid w:val="00DD4309"/>
    <w:rsid w:val="00DD4A9A"/>
    <w:rsid w:val="00DD56B2"/>
    <w:rsid w:val="00DD7E59"/>
    <w:rsid w:val="00DE0642"/>
    <w:rsid w:val="00DE140A"/>
    <w:rsid w:val="00DE1D1B"/>
    <w:rsid w:val="00DE2FAF"/>
    <w:rsid w:val="00DE2FE8"/>
    <w:rsid w:val="00DE3838"/>
    <w:rsid w:val="00DE3EC0"/>
    <w:rsid w:val="00DE4155"/>
    <w:rsid w:val="00DE4228"/>
    <w:rsid w:val="00DE453B"/>
    <w:rsid w:val="00DE6852"/>
    <w:rsid w:val="00DE6D87"/>
    <w:rsid w:val="00DE7288"/>
    <w:rsid w:val="00DE737E"/>
    <w:rsid w:val="00DE7917"/>
    <w:rsid w:val="00DE79D6"/>
    <w:rsid w:val="00DF22EF"/>
    <w:rsid w:val="00DF335F"/>
    <w:rsid w:val="00DF35DF"/>
    <w:rsid w:val="00DF3971"/>
    <w:rsid w:val="00DF5201"/>
    <w:rsid w:val="00DF52F1"/>
    <w:rsid w:val="00DF55E9"/>
    <w:rsid w:val="00DF56C0"/>
    <w:rsid w:val="00E01260"/>
    <w:rsid w:val="00E01BB2"/>
    <w:rsid w:val="00E01FE3"/>
    <w:rsid w:val="00E01FFD"/>
    <w:rsid w:val="00E03584"/>
    <w:rsid w:val="00E04F13"/>
    <w:rsid w:val="00E052F0"/>
    <w:rsid w:val="00E0570F"/>
    <w:rsid w:val="00E05CDC"/>
    <w:rsid w:val="00E07204"/>
    <w:rsid w:val="00E07223"/>
    <w:rsid w:val="00E078FE"/>
    <w:rsid w:val="00E07917"/>
    <w:rsid w:val="00E10186"/>
    <w:rsid w:val="00E1039A"/>
    <w:rsid w:val="00E1142D"/>
    <w:rsid w:val="00E12CC2"/>
    <w:rsid w:val="00E13131"/>
    <w:rsid w:val="00E13817"/>
    <w:rsid w:val="00E13C3A"/>
    <w:rsid w:val="00E14FE4"/>
    <w:rsid w:val="00E1502B"/>
    <w:rsid w:val="00E15E15"/>
    <w:rsid w:val="00E15ED7"/>
    <w:rsid w:val="00E16A14"/>
    <w:rsid w:val="00E24DBD"/>
    <w:rsid w:val="00E24E8C"/>
    <w:rsid w:val="00E251EA"/>
    <w:rsid w:val="00E25D8D"/>
    <w:rsid w:val="00E26508"/>
    <w:rsid w:val="00E26EA1"/>
    <w:rsid w:val="00E323FE"/>
    <w:rsid w:val="00E329C7"/>
    <w:rsid w:val="00E329C9"/>
    <w:rsid w:val="00E33161"/>
    <w:rsid w:val="00E33247"/>
    <w:rsid w:val="00E339CC"/>
    <w:rsid w:val="00E348B1"/>
    <w:rsid w:val="00E351B8"/>
    <w:rsid w:val="00E37C07"/>
    <w:rsid w:val="00E413E0"/>
    <w:rsid w:val="00E418A1"/>
    <w:rsid w:val="00E42A12"/>
    <w:rsid w:val="00E42FF6"/>
    <w:rsid w:val="00E43678"/>
    <w:rsid w:val="00E43BAB"/>
    <w:rsid w:val="00E43FD8"/>
    <w:rsid w:val="00E45546"/>
    <w:rsid w:val="00E4633A"/>
    <w:rsid w:val="00E46681"/>
    <w:rsid w:val="00E46B10"/>
    <w:rsid w:val="00E5094F"/>
    <w:rsid w:val="00E50DBB"/>
    <w:rsid w:val="00E5166C"/>
    <w:rsid w:val="00E51A01"/>
    <w:rsid w:val="00E51B51"/>
    <w:rsid w:val="00E51BFF"/>
    <w:rsid w:val="00E5262A"/>
    <w:rsid w:val="00E535EF"/>
    <w:rsid w:val="00E537E9"/>
    <w:rsid w:val="00E53A13"/>
    <w:rsid w:val="00E5626A"/>
    <w:rsid w:val="00E56274"/>
    <w:rsid w:val="00E56982"/>
    <w:rsid w:val="00E57752"/>
    <w:rsid w:val="00E57A12"/>
    <w:rsid w:val="00E57AEE"/>
    <w:rsid w:val="00E618B6"/>
    <w:rsid w:val="00E61DFF"/>
    <w:rsid w:val="00E62143"/>
    <w:rsid w:val="00E624C3"/>
    <w:rsid w:val="00E625CD"/>
    <w:rsid w:val="00E62860"/>
    <w:rsid w:val="00E6297E"/>
    <w:rsid w:val="00E6321B"/>
    <w:rsid w:val="00E64040"/>
    <w:rsid w:val="00E643B7"/>
    <w:rsid w:val="00E647DF"/>
    <w:rsid w:val="00E64905"/>
    <w:rsid w:val="00E64C04"/>
    <w:rsid w:val="00E668DE"/>
    <w:rsid w:val="00E66A0C"/>
    <w:rsid w:val="00E70871"/>
    <w:rsid w:val="00E70DB3"/>
    <w:rsid w:val="00E71539"/>
    <w:rsid w:val="00E71676"/>
    <w:rsid w:val="00E73944"/>
    <w:rsid w:val="00E73DCD"/>
    <w:rsid w:val="00E73E04"/>
    <w:rsid w:val="00E74F8C"/>
    <w:rsid w:val="00E753A5"/>
    <w:rsid w:val="00E75C18"/>
    <w:rsid w:val="00E76716"/>
    <w:rsid w:val="00E76F6B"/>
    <w:rsid w:val="00E77D78"/>
    <w:rsid w:val="00E77F3F"/>
    <w:rsid w:val="00E80822"/>
    <w:rsid w:val="00E80861"/>
    <w:rsid w:val="00E80E25"/>
    <w:rsid w:val="00E818B3"/>
    <w:rsid w:val="00E82729"/>
    <w:rsid w:val="00E849CC"/>
    <w:rsid w:val="00E85310"/>
    <w:rsid w:val="00E873E7"/>
    <w:rsid w:val="00E90024"/>
    <w:rsid w:val="00E901AC"/>
    <w:rsid w:val="00E90223"/>
    <w:rsid w:val="00E91372"/>
    <w:rsid w:val="00E92B07"/>
    <w:rsid w:val="00E94080"/>
    <w:rsid w:val="00E9431B"/>
    <w:rsid w:val="00E944DE"/>
    <w:rsid w:val="00E94FA4"/>
    <w:rsid w:val="00E95CE5"/>
    <w:rsid w:val="00E95E1B"/>
    <w:rsid w:val="00E96ABB"/>
    <w:rsid w:val="00EA0940"/>
    <w:rsid w:val="00EA0995"/>
    <w:rsid w:val="00EA0CB2"/>
    <w:rsid w:val="00EA0F5A"/>
    <w:rsid w:val="00EA16A8"/>
    <w:rsid w:val="00EA1859"/>
    <w:rsid w:val="00EA1B6F"/>
    <w:rsid w:val="00EA22FB"/>
    <w:rsid w:val="00EA3687"/>
    <w:rsid w:val="00EA3F35"/>
    <w:rsid w:val="00EA4069"/>
    <w:rsid w:val="00EA4213"/>
    <w:rsid w:val="00EA441E"/>
    <w:rsid w:val="00EA76A1"/>
    <w:rsid w:val="00EB000B"/>
    <w:rsid w:val="00EB0DD6"/>
    <w:rsid w:val="00EB3A7D"/>
    <w:rsid w:val="00EB4B04"/>
    <w:rsid w:val="00EB5157"/>
    <w:rsid w:val="00EB566B"/>
    <w:rsid w:val="00EB60DD"/>
    <w:rsid w:val="00EB6EA3"/>
    <w:rsid w:val="00EB710F"/>
    <w:rsid w:val="00EB7BB3"/>
    <w:rsid w:val="00EB7D88"/>
    <w:rsid w:val="00EC1986"/>
    <w:rsid w:val="00EC47B3"/>
    <w:rsid w:val="00EC4B24"/>
    <w:rsid w:val="00EC510A"/>
    <w:rsid w:val="00EC523D"/>
    <w:rsid w:val="00EC6978"/>
    <w:rsid w:val="00EC7A72"/>
    <w:rsid w:val="00ED0249"/>
    <w:rsid w:val="00ED0355"/>
    <w:rsid w:val="00ED036B"/>
    <w:rsid w:val="00ED04C0"/>
    <w:rsid w:val="00ED0BFA"/>
    <w:rsid w:val="00ED0DBD"/>
    <w:rsid w:val="00ED14CF"/>
    <w:rsid w:val="00ED1AF0"/>
    <w:rsid w:val="00ED443E"/>
    <w:rsid w:val="00ED4C10"/>
    <w:rsid w:val="00ED5D4F"/>
    <w:rsid w:val="00ED6556"/>
    <w:rsid w:val="00EE010E"/>
    <w:rsid w:val="00EE049A"/>
    <w:rsid w:val="00EE15A2"/>
    <w:rsid w:val="00EE1CB3"/>
    <w:rsid w:val="00EE1CD4"/>
    <w:rsid w:val="00EE2E68"/>
    <w:rsid w:val="00EE3EB3"/>
    <w:rsid w:val="00EE48EF"/>
    <w:rsid w:val="00EE5D6F"/>
    <w:rsid w:val="00EE7419"/>
    <w:rsid w:val="00EE7499"/>
    <w:rsid w:val="00EF046D"/>
    <w:rsid w:val="00EF1331"/>
    <w:rsid w:val="00EF1984"/>
    <w:rsid w:val="00EF1BCD"/>
    <w:rsid w:val="00EF1F6B"/>
    <w:rsid w:val="00EF3646"/>
    <w:rsid w:val="00EF3863"/>
    <w:rsid w:val="00EF39D0"/>
    <w:rsid w:val="00EF3A31"/>
    <w:rsid w:val="00EF3FA9"/>
    <w:rsid w:val="00EF6810"/>
    <w:rsid w:val="00F0117E"/>
    <w:rsid w:val="00F02971"/>
    <w:rsid w:val="00F0298C"/>
    <w:rsid w:val="00F02A4F"/>
    <w:rsid w:val="00F0474F"/>
    <w:rsid w:val="00F04A23"/>
    <w:rsid w:val="00F0606B"/>
    <w:rsid w:val="00F06AEA"/>
    <w:rsid w:val="00F072DB"/>
    <w:rsid w:val="00F101AE"/>
    <w:rsid w:val="00F10393"/>
    <w:rsid w:val="00F10546"/>
    <w:rsid w:val="00F1065B"/>
    <w:rsid w:val="00F126D1"/>
    <w:rsid w:val="00F12BB0"/>
    <w:rsid w:val="00F12F10"/>
    <w:rsid w:val="00F13594"/>
    <w:rsid w:val="00F1390C"/>
    <w:rsid w:val="00F13AA2"/>
    <w:rsid w:val="00F13DD0"/>
    <w:rsid w:val="00F15803"/>
    <w:rsid w:val="00F1676F"/>
    <w:rsid w:val="00F16A89"/>
    <w:rsid w:val="00F1738C"/>
    <w:rsid w:val="00F20A93"/>
    <w:rsid w:val="00F20C79"/>
    <w:rsid w:val="00F22A1B"/>
    <w:rsid w:val="00F22CE1"/>
    <w:rsid w:val="00F23413"/>
    <w:rsid w:val="00F239D8"/>
    <w:rsid w:val="00F24BA5"/>
    <w:rsid w:val="00F24DA1"/>
    <w:rsid w:val="00F251ED"/>
    <w:rsid w:val="00F25955"/>
    <w:rsid w:val="00F25B9C"/>
    <w:rsid w:val="00F26C78"/>
    <w:rsid w:val="00F26CDA"/>
    <w:rsid w:val="00F273D6"/>
    <w:rsid w:val="00F275FF"/>
    <w:rsid w:val="00F3019B"/>
    <w:rsid w:val="00F31ACA"/>
    <w:rsid w:val="00F31DB1"/>
    <w:rsid w:val="00F336DC"/>
    <w:rsid w:val="00F33C8A"/>
    <w:rsid w:val="00F34BFE"/>
    <w:rsid w:val="00F36600"/>
    <w:rsid w:val="00F36678"/>
    <w:rsid w:val="00F36EA2"/>
    <w:rsid w:val="00F43C15"/>
    <w:rsid w:val="00F4530F"/>
    <w:rsid w:val="00F455DD"/>
    <w:rsid w:val="00F456D4"/>
    <w:rsid w:val="00F46DC6"/>
    <w:rsid w:val="00F46F61"/>
    <w:rsid w:val="00F47982"/>
    <w:rsid w:val="00F50B4D"/>
    <w:rsid w:val="00F50D32"/>
    <w:rsid w:val="00F50E6C"/>
    <w:rsid w:val="00F5109B"/>
    <w:rsid w:val="00F51621"/>
    <w:rsid w:val="00F52591"/>
    <w:rsid w:val="00F53C88"/>
    <w:rsid w:val="00F54693"/>
    <w:rsid w:val="00F552A4"/>
    <w:rsid w:val="00F55433"/>
    <w:rsid w:val="00F56590"/>
    <w:rsid w:val="00F56F28"/>
    <w:rsid w:val="00F5701D"/>
    <w:rsid w:val="00F57111"/>
    <w:rsid w:val="00F57ECB"/>
    <w:rsid w:val="00F61875"/>
    <w:rsid w:val="00F61E8E"/>
    <w:rsid w:val="00F62C7C"/>
    <w:rsid w:val="00F65390"/>
    <w:rsid w:val="00F65437"/>
    <w:rsid w:val="00F65E92"/>
    <w:rsid w:val="00F669C4"/>
    <w:rsid w:val="00F66DF0"/>
    <w:rsid w:val="00F70A98"/>
    <w:rsid w:val="00F71C11"/>
    <w:rsid w:val="00F71C81"/>
    <w:rsid w:val="00F73200"/>
    <w:rsid w:val="00F7368C"/>
    <w:rsid w:val="00F73CBA"/>
    <w:rsid w:val="00F7531D"/>
    <w:rsid w:val="00F75A4A"/>
    <w:rsid w:val="00F77219"/>
    <w:rsid w:val="00F80149"/>
    <w:rsid w:val="00F804AC"/>
    <w:rsid w:val="00F8147F"/>
    <w:rsid w:val="00F826D7"/>
    <w:rsid w:val="00F82F8C"/>
    <w:rsid w:val="00F8326A"/>
    <w:rsid w:val="00F832C5"/>
    <w:rsid w:val="00F835A1"/>
    <w:rsid w:val="00F83705"/>
    <w:rsid w:val="00F84351"/>
    <w:rsid w:val="00F84886"/>
    <w:rsid w:val="00F84FC6"/>
    <w:rsid w:val="00F85A7D"/>
    <w:rsid w:val="00F863A5"/>
    <w:rsid w:val="00F86585"/>
    <w:rsid w:val="00F86EA7"/>
    <w:rsid w:val="00F86EF6"/>
    <w:rsid w:val="00F87514"/>
    <w:rsid w:val="00F87B1E"/>
    <w:rsid w:val="00F87D7D"/>
    <w:rsid w:val="00F90939"/>
    <w:rsid w:val="00F90DDF"/>
    <w:rsid w:val="00F90EB2"/>
    <w:rsid w:val="00F91C2C"/>
    <w:rsid w:val="00F9283E"/>
    <w:rsid w:val="00F93380"/>
    <w:rsid w:val="00F93476"/>
    <w:rsid w:val="00F9402E"/>
    <w:rsid w:val="00F941FA"/>
    <w:rsid w:val="00F95401"/>
    <w:rsid w:val="00F954A2"/>
    <w:rsid w:val="00F95FCD"/>
    <w:rsid w:val="00F96000"/>
    <w:rsid w:val="00F969F3"/>
    <w:rsid w:val="00F973E1"/>
    <w:rsid w:val="00F976BA"/>
    <w:rsid w:val="00F97DD7"/>
    <w:rsid w:val="00FA0008"/>
    <w:rsid w:val="00FA001E"/>
    <w:rsid w:val="00FA1DBA"/>
    <w:rsid w:val="00FA222B"/>
    <w:rsid w:val="00FA3476"/>
    <w:rsid w:val="00FA378A"/>
    <w:rsid w:val="00FA388C"/>
    <w:rsid w:val="00FA517C"/>
    <w:rsid w:val="00FA5B59"/>
    <w:rsid w:val="00FA66FF"/>
    <w:rsid w:val="00FB036D"/>
    <w:rsid w:val="00FB0F92"/>
    <w:rsid w:val="00FB10FC"/>
    <w:rsid w:val="00FB2F0E"/>
    <w:rsid w:val="00FB59B1"/>
    <w:rsid w:val="00FB5AF9"/>
    <w:rsid w:val="00FB7AC6"/>
    <w:rsid w:val="00FC020D"/>
    <w:rsid w:val="00FC1881"/>
    <w:rsid w:val="00FC1EE3"/>
    <w:rsid w:val="00FC2690"/>
    <w:rsid w:val="00FC2A5F"/>
    <w:rsid w:val="00FC419C"/>
    <w:rsid w:val="00FC41E2"/>
    <w:rsid w:val="00FC44DC"/>
    <w:rsid w:val="00FC4848"/>
    <w:rsid w:val="00FC4A65"/>
    <w:rsid w:val="00FC4E98"/>
    <w:rsid w:val="00FD05A5"/>
    <w:rsid w:val="00FD066E"/>
    <w:rsid w:val="00FD1773"/>
    <w:rsid w:val="00FD1A99"/>
    <w:rsid w:val="00FD353E"/>
    <w:rsid w:val="00FD4AC0"/>
    <w:rsid w:val="00FD5039"/>
    <w:rsid w:val="00FD51FD"/>
    <w:rsid w:val="00FD62C1"/>
    <w:rsid w:val="00FD6888"/>
    <w:rsid w:val="00FD7230"/>
    <w:rsid w:val="00FD7F77"/>
    <w:rsid w:val="00FE0020"/>
    <w:rsid w:val="00FE05B0"/>
    <w:rsid w:val="00FE0B1F"/>
    <w:rsid w:val="00FE15C3"/>
    <w:rsid w:val="00FE2ED9"/>
    <w:rsid w:val="00FE2FAD"/>
    <w:rsid w:val="00FE3242"/>
    <w:rsid w:val="00FE32BB"/>
    <w:rsid w:val="00FE33EA"/>
    <w:rsid w:val="00FE3744"/>
    <w:rsid w:val="00FE3EBC"/>
    <w:rsid w:val="00FE4F77"/>
    <w:rsid w:val="00FE526F"/>
    <w:rsid w:val="00FE5E74"/>
    <w:rsid w:val="00FF4355"/>
    <w:rsid w:val="00FF5436"/>
    <w:rsid w:val="00FF5674"/>
    <w:rsid w:val="00FF5CAF"/>
    <w:rsid w:val="00FF655F"/>
    <w:rsid w:val="00FF6C59"/>
    <w:rsid w:val="00FF72EB"/>
    <w:rsid w:val="00FF7974"/>
    <w:rsid w:val="00FF7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8920"/>
  <w15:docId w15:val="{60AEDDB8-8071-49B6-9B63-3AF3CCEB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sl-SI"/>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258"/>
    <w:pPr>
      <w:spacing w:after="200" w:line="276" w:lineRule="auto"/>
    </w:pPr>
    <w:rPr>
      <w:rFonts w:ascii="Times New Roman" w:hAnsi="Times New Roman"/>
      <w:sz w:val="24"/>
      <w:szCs w:val="22"/>
    </w:rPr>
  </w:style>
  <w:style w:type="paragraph" w:styleId="Heading1">
    <w:name w:val="heading 1"/>
    <w:basedOn w:val="Title"/>
    <w:next w:val="Normal"/>
    <w:link w:val="Heading1Char"/>
    <w:uiPriority w:val="9"/>
    <w:qFormat/>
    <w:rsid w:val="00550A65"/>
    <w:pPr>
      <w:tabs>
        <w:tab w:val="clear" w:pos="-1440"/>
        <w:tab w:val="clear" w:pos="-720"/>
        <w:tab w:val="clear" w:pos="828"/>
        <w:tab w:val="clear" w:pos="1044"/>
        <w:tab w:val="clear" w:pos="1260"/>
        <w:tab w:val="clear" w:pos="1476"/>
        <w:tab w:val="clear" w:pos="1692"/>
        <w:tab w:val="clear" w:pos="2160"/>
      </w:tabs>
      <w:spacing w:before="240" w:after="360"/>
      <w:outlineLvl w:val="0"/>
    </w:pPr>
    <w:rPr>
      <w:rFonts w:ascii="Times New Roman Bold" w:hAnsi="Times New Roman Bold"/>
      <w:bCs w:val="0"/>
      <w:caps/>
      <w:snapToGrid/>
      <w:szCs w:val="24"/>
    </w:rPr>
  </w:style>
  <w:style w:type="paragraph" w:styleId="Heading2">
    <w:name w:val="heading 2"/>
    <w:basedOn w:val="Normal"/>
    <w:next w:val="Normal"/>
    <w:link w:val="Heading2Char"/>
    <w:uiPriority w:val="9"/>
    <w:unhideWhenUsed/>
    <w:qFormat/>
    <w:rsid w:val="00A3237A"/>
    <w:pPr>
      <w:spacing w:before="240" w:after="240" w:line="240" w:lineRule="auto"/>
      <w:jc w:val="both"/>
      <w:outlineLvl w:val="1"/>
    </w:pPr>
    <w:rPr>
      <w:rFonts w:ascii="Times New Roman Bold" w:eastAsia="Times New Roman" w:hAnsi="Times New Roman Bold"/>
      <w:b/>
      <w:caps/>
      <w:szCs w:val="24"/>
    </w:rPr>
  </w:style>
  <w:style w:type="paragraph" w:styleId="Heading3">
    <w:name w:val="heading 3"/>
    <w:basedOn w:val="Normal"/>
    <w:next w:val="Normal"/>
    <w:link w:val="Heading3Char"/>
    <w:uiPriority w:val="9"/>
    <w:unhideWhenUsed/>
    <w:qFormat/>
    <w:rsid w:val="005506B9"/>
    <w:pPr>
      <w:spacing w:before="240" w:after="240" w:line="240" w:lineRule="auto"/>
      <w:jc w:val="both"/>
      <w:outlineLvl w:val="2"/>
    </w:pPr>
    <w:rPr>
      <w:rFonts w:eastAsia="Times New Roman"/>
      <w:b/>
      <w:spacing w:val="5"/>
      <w:szCs w:val="24"/>
    </w:rPr>
  </w:style>
  <w:style w:type="paragraph" w:styleId="Heading4">
    <w:name w:val="heading 4"/>
    <w:basedOn w:val="Normal"/>
    <w:next w:val="Normal"/>
    <w:link w:val="Heading4Char"/>
    <w:uiPriority w:val="9"/>
    <w:unhideWhenUsed/>
    <w:qFormat/>
    <w:rsid w:val="00550A65"/>
    <w:pPr>
      <w:tabs>
        <w:tab w:val="left" w:pos="1134"/>
      </w:tabs>
      <w:spacing w:before="240" w:after="120" w:line="240" w:lineRule="auto"/>
      <w:ind w:left="1134" w:hanging="1134"/>
      <w:jc w:val="both"/>
      <w:outlineLvl w:val="3"/>
    </w:pPr>
    <w:rPr>
      <w:rFonts w:eastAsia="Times New Roman"/>
      <w:b/>
      <w:szCs w:val="24"/>
      <w:u w:val="single"/>
    </w:rPr>
  </w:style>
  <w:style w:type="paragraph" w:styleId="Heading5">
    <w:name w:val="heading 5"/>
    <w:basedOn w:val="Normal"/>
    <w:next w:val="Normal"/>
    <w:link w:val="Heading5Char"/>
    <w:uiPriority w:val="9"/>
    <w:semiHidden/>
    <w:unhideWhenUsed/>
    <w:qFormat/>
    <w:rsid w:val="00550A65"/>
    <w:pPr>
      <w:spacing w:before="200" w:beforeAutospacing="1" w:after="0" w:afterAutospacing="1" w:line="240" w:lineRule="auto"/>
      <w:outlineLvl w:val="4"/>
    </w:pPr>
    <w:rPr>
      <w:rFonts w:eastAsia="Times New Roman"/>
      <w:smallCaps/>
      <w:color w:val="943634"/>
      <w:spacing w:val="10"/>
      <w:szCs w:val="26"/>
    </w:rPr>
  </w:style>
  <w:style w:type="paragraph" w:styleId="Heading6">
    <w:name w:val="heading 6"/>
    <w:basedOn w:val="Normal"/>
    <w:next w:val="Normal"/>
    <w:link w:val="Heading6Char"/>
    <w:uiPriority w:val="9"/>
    <w:semiHidden/>
    <w:unhideWhenUsed/>
    <w:qFormat/>
    <w:rsid w:val="00550A65"/>
    <w:pPr>
      <w:spacing w:before="100" w:beforeAutospacing="1" w:after="0" w:afterAutospacing="1" w:line="240" w:lineRule="auto"/>
      <w:outlineLvl w:val="5"/>
    </w:pPr>
    <w:rPr>
      <w:rFonts w:eastAsia="Times New Roman"/>
      <w:smallCaps/>
      <w:color w:val="C0504D"/>
      <w:spacing w:val="5"/>
      <w:szCs w:val="20"/>
    </w:rPr>
  </w:style>
  <w:style w:type="paragraph" w:styleId="Heading7">
    <w:name w:val="heading 7"/>
    <w:basedOn w:val="Normal"/>
    <w:next w:val="Normal"/>
    <w:link w:val="Heading7Char"/>
    <w:uiPriority w:val="9"/>
    <w:semiHidden/>
    <w:unhideWhenUsed/>
    <w:qFormat/>
    <w:rsid w:val="00550A65"/>
    <w:pPr>
      <w:spacing w:before="100" w:beforeAutospacing="1" w:after="0" w:afterAutospacing="1" w:line="240" w:lineRule="auto"/>
      <w:outlineLvl w:val="6"/>
    </w:pPr>
    <w:rPr>
      <w:rFonts w:eastAsia="Times New Roman"/>
      <w:b/>
      <w:smallCaps/>
      <w:color w:val="C0504D"/>
      <w:spacing w:val="10"/>
      <w:szCs w:val="20"/>
    </w:rPr>
  </w:style>
  <w:style w:type="paragraph" w:styleId="Heading8">
    <w:name w:val="heading 8"/>
    <w:basedOn w:val="Normal"/>
    <w:next w:val="Normal"/>
    <w:link w:val="Heading8Char"/>
    <w:uiPriority w:val="9"/>
    <w:semiHidden/>
    <w:unhideWhenUsed/>
    <w:qFormat/>
    <w:rsid w:val="00550A65"/>
    <w:pPr>
      <w:spacing w:before="100" w:beforeAutospacing="1" w:after="0" w:afterAutospacing="1" w:line="240" w:lineRule="auto"/>
      <w:outlineLvl w:val="7"/>
    </w:pPr>
    <w:rPr>
      <w:rFonts w:eastAsia="Times New Roman"/>
      <w:b/>
      <w:i/>
      <w:smallCaps/>
      <w:color w:val="943634"/>
      <w:szCs w:val="20"/>
    </w:rPr>
  </w:style>
  <w:style w:type="paragraph" w:styleId="Heading9">
    <w:name w:val="heading 9"/>
    <w:basedOn w:val="Normal"/>
    <w:next w:val="Normal"/>
    <w:link w:val="Heading9Char"/>
    <w:uiPriority w:val="9"/>
    <w:semiHidden/>
    <w:unhideWhenUsed/>
    <w:qFormat/>
    <w:rsid w:val="00550A65"/>
    <w:pPr>
      <w:spacing w:before="100" w:beforeAutospacing="1" w:after="0" w:afterAutospacing="1" w:line="240" w:lineRule="auto"/>
      <w:outlineLvl w:val="8"/>
    </w:pPr>
    <w:rPr>
      <w:rFonts w:eastAsia="Times New Roman"/>
      <w:b/>
      <w:i/>
      <w:smallCaps/>
      <w:color w:val="6224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nhideWhenUsed/>
    <w:rsid w:val="009533DC"/>
    <w:rPr>
      <w:sz w:val="20"/>
      <w:szCs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9533DC"/>
    <w:rPr>
      <w:lang w:eastAsia="sl-SI"/>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Header">
    <w:name w:val="header"/>
    <w:basedOn w:val="Normal"/>
    <w:link w:val="HeaderChar"/>
    <w:unhideWhenUsed/>
    <w:rsid w:val="008E59DC"/>
    <w:pPr>
      <w:tabs>
        <w:tab w:val="center" w:pos="4513"/>
        <w:tab w:val="right" w:pos="9026"/>
      </w:tabs>
    </w:pPr>
  </w:style>
  <w:style w:type="character" w:customStyle="1" w:styleId="HeaderChar">
    <w:name w:val="Header Char"/>
    <w:link w:val="Header"/>
    <w:rsid w:val="008E59DC"/>
    <w:rPr>
      <w:sz w:val="22"/>
      <w:szCs w:val="22"/>
      <w:lang w:eastAsia="sl-SI"/>
    </w:rPr>
  </w:style>
  <w:style w:type="paragraph" w:styleId="Footer">
    <w:name w:val="footer"/>
    <w:basedOn w:val="Normal"/>
    <w:link w:val="FooterChar"/>
    <w:uiPriority w:val="99"/>
    <w:unhideWhenUsed/>
    <w:rsid w:val="008E59DC"/>
    <w:pPr>
      <w:tabs>
        <w:tab w:val="center" w:pos="4513"/>
        <w:tab w:val="right" w:pos="9026"/>
      </w:tabs>
    </w:pPr>
  </w:style>
  <w:style w:type="character" w:customStyle="1" w:styleId="FooterChar">
    <w:name w:val="Footer Char"/>
    <w:link w:val="Footer"/>
    <w:uiPriority w:val="99"/>
    <w:rsid w:val="008E59DC"/>
    <w:rPr>
      <w:sz w:val="22"/>
      <w:szCs w:val="22"/>
      <w:lang w:eastAsia="sl-SI"/>
    </w:rPr>
  </w:style>
  <w:style w:type="character" w:styleId="CommentReference">
    <w:name w:val="annotation reference"/>
    <w:uiPriority w:val="99"/>
    <w:unhideWhenUsed/>
    <w:rsid w:val="006B2260"/>
    <w:rPr>
      <w:sz w:val="16"/>
      <w:szCs w:val="16"/>
    </w:rPr>
  </w:style>
  <w:style w:type="paragraph" w:styleId="CommentText">
    <w:name w:val="annotation text"/>
    <w:basedOn w:val="Normal"/>
    <w:link w:val="CommentTextChar"/>
    <w:uiPriority w:val="99"/>
    <w:unhideWhenUsed/>
    <w:rsid w:val="006B2260"/>
    <w:rPr>
      <w:sz w:val="20"/>
      <w:szCs w:val="20"/>
    </w:rPr>
  </w:style>
  <w:style w:type="character" w:customStyle="1" w:styleId="CommentTextChar">
    <w:name w:val="Comment Text Char"/>
    <w:link w:val="CommentText"/>
    <w:uiPriority w:val="99"/>
    <w:rsid w:val="006B2260"/>
    <w:rPr>
      <w:lang w:eastAsia="sl-SI"/>
    </w:rPr>
  </w:style>
  <w:style w:type="paragraph" w:styleId="BalloonText">
    <w:name w:val="Balloon Text"/>
    <w:basedOn w:val="Normal"/>
    <w:link w:val="BalloonTextChar"/>
    <w:uiPriority w:val="99"/>
    <w:semiHidden/>
    <w:unhideWhenUsed/>
    <w:rsid w:val="006B22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2260"/>
    <w:rPr>
      <w:rFonts w:ascii="Tahoma" w:hAnsi="Tahoma" w:cs="Tahoma"/>
      <w:sz w:val="16"/>
      <w:szCs w:val="16"/>
      <w:lang w:eastAsia="sl-SI"/>
    </w:rPr>
  </w:style>
  <w:style w:type="paragraph" w:styleId="CommentSubject">
    <w:name w:val="annotation subject"/>
    <w:basedOn w:val="CommentText"/>
    <w:next w:val="CommentText"/>
    <w:link w:val="CommentSubjectChar"/>
    <w:uiPriority w:val="99"/>
    <w:semiHidden/>
    <w:unhideWhenUsed/>
    <w:rsid w:val="00F06AEA"/>
    <w:rPr>
      <w:b/>
      <w:bCs/>
    </w:rPr>
  </w:style>
  <w:style w:type="character" w:customStyle="1" w:styleId="CommentSubjectChar">
    <w:name w:val="Comment Subject Char"/>
    <w:link w:val="CommentSubject"/>
    <w:uiPriority w:val="99"/>
    <w:semiHidden/>
    <w:rsid w:val="00F06AEA"/>
    <w:rPr>
      <w:b/>
      <w:bCs/>
      <w:lang w:eastAsia="sl-SI"/>
    </w:rPr>
  </w:style>
  <w:style w:type="paragraph" w:styleId="ListParagraph">
    <w:name w:val="List Paragraph"/>
    <w:basedOn w:val="Normal"/>
    <w:uiPriority w:val="34"/>
    <w:qFormat/>
    <w:rsid w:val="00280365"/>
    <w:pPr>
      <w:ind w:left="720"/>
      <w:contextualSpacing/>
    </w:pPr>
  </w:style>
  <w:style w:type="numbering" w:customStyle="1" w:styleId="NoList1">
    <w:name w:val="No List1"/>
    <w:next w:val="NoList"/>
    <w:uiPriority w:val="99"/>
    <w:semiHidden/>
    <w:unhideWhenUsed/>
    <w:rsid w:val="00280365"/>
  </w:style>
  <w:style w:type="paragraph" w:customStyle="1" w:styleId="ListDash">
    <w:name w:val="List Dash"/>
    <w:basedOn w:val="Normal"/>
    <w:rsid w:val="00280365"/>
    <w:pPr>
      <w:tabs>
        <w:tab w:val="num" w:pos="360"/>
      </w:tabs>
      <w:spacing w:after="240" w:line="240" w:lineRule="auto"/>
      <w:jc w:val="both"/>
    </w:pPr>
    <w:rPr>
      <w:rFonts w:eastAsia="Times New Roman"/>
      <w:szCs w:val="20"/>
    </w:rPr>
  </w:style>
  <w:style w:type="paragraph" w:customStyle="1" w:styleId="Char1CharCharChar">
    <w:name w:val="Char1 Char Char Char"/>
    <w:basedOn w:val="Normal"/>
    <w:rsid w:val="00280365"/>
    <w:pPr>
      <w:spacing w:after="160" w:line="240" w:lineRule="exact"/>
    </w:pPr>
    <w:rPr>
      <w:rFonts w:ascii="Tahoma" w:eastAsia="Times New Roman" w:hAnsi="Tahoma"/>
      <w:sz w:val="20"/>
      <w:szCs w:val="20"/>
    </w:rPr>
  </w:style>
  <w:style w:type="paragraph" w:customStyle="1" w:styleId="CM1">
    <w:name w:val="CM1"/>
    <w:basedOn w:val="Normal"/>
    <w:next w:val="Normal"/>
    <w:uiPriority w:val="99"/>
    <w:rsid w:val="00280365"/>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rsid w:val="00280365"/>
    <w:pPr>
      <w:autoSpaceDE w:val="0"/>
      <w:autoSpaceDN w:val="0"/>
      <w:adjustRightInd w:val="0"/>
      <w:spacing w:after="0" w:line="240" w:lineRule="auto"/>
    </w:pPr>
    <w:rPr>
      <w:rFonts w:ascii="EUAlbertina" w:hAnsi="EUAlbertina"/>
      <w:szCs w:val="24"/>
    </w:rPr>
  </w:style>
  <w:style w:type="paragraph" w:customStyle="1" w:styleId="Revision1">
    <w:name w:val="Revision1"/>
    <w:next w:val="Revision"/>
    <w:hidden/>
    <w:uiPriority w:val="99"/>
    <w:semiHidden/>
    <w:rsid w:val="00280365"/>
    <w:rPr>
      <w:sz w:val="22"/>
      <w:szCs w:val="22"/>
    </w:rPr>
  </w:style>
  <w:style w:type="paragraph" w:styleId="Revision">
    <w:name w:val="Revision"/>
    <w:hidden/>
    <w:uiPriority w:val="99"/>
    <w:semiHidden/>
    <w:rsid w:val="00280365"/>
    <w:rPr>
      <w:sz w:val="22"/>
      <w:szCs w:val="22"/>
    </w:rPr>
  </w:style>
  <w:style w:type="paragraph" w:customStyle="1" w:styleId="Char1CharCharChar0">
    <w:name w:val="Char1 Char Char Char"/>
    <w:basedOn w:val="Normal"/>
    <w:rsid w:val="000A195F"/>
    <w:pPr>
      <w:spacing w:after="160" w:line="240" w:lineRule="exact"/>
    </w:pPr>
    <w:rPr>
      <w:rFonts w:ascii="Tahoma" w:eastAsia="Times New Roman" w:hAnsi="Tahoma"/>
      <w:sz w:val="20"/>
      <w:szCs w:val="20"/>
    </w:rPr>
  </w:style>
  <w:style w:type="paragraph" w:customStyle="1" w:styleId="ZCom">
    <w:name w:val="Z_Com"/>
    <w:basedOn w:val="Normal"/>
    <w:next w:val="ZDGName"/>
    <w:rsid w:val="003143A0"/>
    <w:pPr>
      <w:widowControl w:val="0"/>
      <w:spacing w:after="0" w:line="240" w:lineRule="auto"/>
      <w:ind w:right="85"/>
      <w:jc w:val="both"/>
    </w:pPr>
    <w:rPr>
      <w:rFonts w:ascii="Arial" w:eastAsia="Times New Roman" w:hAnsi="Arial"/>
      <w:snapToGrid w:val="0"/>
      <w:szCs w:val="20"/>
    </w:rPr>
  </w:style>
  <w:style w:type="paragraph" w:customStyle="1" w:styleId="ZDGName">
    <w:name w:val="Z_DGName"/>
    <w:basedOn w:val="Normal"/>
    <w:rsid w:val="003143A0"/>
    <w:pPr>
      <w:widowControl w:val="0"/>
      <w:spacing w:after="0" w:line="240" w:lineRule="auto"/>
      <w:ind w:right="85"/>
      <w:jc w:val="both"/>
    </w:pPr>
    <w:rPr>
      <w:rFonts w:ascii="Arial" w:eastAsia="Times New Roman" w:hAnsi="Arial"/>
      <w:snapToGrid w:val="0"/>
      <w:sz w:val="16"/>
      <w:szCs w:val="20"/>
    </w:rPr>
  </w:style>
  <w:style w:type="character" w:styleId="Emphasis">
    <w:name w:val="Emphasis"/>
    <w:uiPriority w:val="20"/>
    <w:qFormat/>
    <w:rsid w:val="00964D6A"/>
    <w:rPr>
      <w:i/>
      <w:iCs/>
    </w:rPr>
  </w:style>
  <w:style w:type="paragraph" w:customStyle="1" w:styleId="Heading3contract">
    <w:name w:val="Heading 3 contract"/>
    <w:basedOn w:val="Normal"/>
    <w:link w:val="Heading3contractChar"/>
    <w:autoRedefine/>
    <w:qFormat/>
    <w:rsid w:val="00E37C07"/>
    <w:pPr>
      <w:keepNext/>
      <w:spacing w:before="120" w:after="0" w:line="240" w:lineRule="auto"/>
      <w:ind w:left="709" w:hanging="709"/>
      <w:jc w:val="both"/>
    </w:pPr>
    <w:rPr>
      <w:rFonts w:eastAsia="Times New Roman"/>
      <w:b/>
      <w:szCs w:val="24"/>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sl-SI"/>
    </w:rPr>
  </w:style>
  <w:style w:type="character" w:styleId="Hyperlink">
    <w:name w:val="Hyperlink"/>
    <w:uiPriority w:val="99"/>
    <w:unhideWhenUsed/>
    <w:rsid w:val="00171637"/>
    <w:rPr>
      <w:color w:val="0000FF"/>
      <w:u w:val="single"/>
    </w:rPr>
  </w:style>
  <w:style w:type="character" w:styleId="FollowedHyperlink">
    <w:name w:val="FollowedHyperlink"/>
    <w:uiPriority w:val="99"/>
    <w:semiHidden/>
    <w:unhideWhenUsed/>
    <w:rsid w:val="00171637"/>
    <w:rPr>
      <w:color w:val="800080"/>
      <w:u w:val="single"/>
    </w:rPr>
  </w:style>
  <w:style w:type="paragraph" w:styleId="Title">
    <w:name w:val="Title"/>
    <w:basedOn w:val="Normal"/>
    <w:link w:val="TitleChar"/>
    <w:uiPriority w:val="10"/>
    <w:qFormat/>
    <w:rsid w:val="00772D82"/>
    <w:pPr>
      <w:tabs>
        <w:tab w:val="left" w:pos="-1440"/>
        <w:tab w:val="left" w:pos="-720"/>
        <w:tab w:val="left" w:pos="828"/>
        <w:tab w:val="left" w:pos="1044"/>
        <w:tab w:val="left" w:pos="1260"/>
        <w:tab w:val="left" w:pos="1476"/>
        <w:tab w:val="left" w:pos="1692"/>
        <w:tab w:val="left" w:pos="2160"/>
      </w:tabs>
      <w:spacing w:after="0" w:line="240" w:lineRule="auto"/>
      <w:jc w:val="center"/>
    </w:pPr>
    <w:rPr>
      <w:rFonts w:eastAsia="Times New Roman"/>
      <w:b/>
      <w:bCs/>
      <w:snapToGrid w:val="0"/>
    </w:rPr>
  </w:style>
  <w:style w:type="character" w:customStyle="1" w:styleId="TitleChar">
    <w:name w:val="Title Char"/>
    <w:link w:val="Title"/>
    <w:uiPriority w:val="10"/>
    <w:rsid w:val="00772D82"/>
    <w:rPr>
      <w:rFonts w:ascii="Times New Roman" w:eastAsia="Times New Roman" w:hAnsi="Times New Roman"/>
      <w:b/>
      <w:bCs/>
      <w:snapToGrid w:val="0"/>
      <w:sz w:val="22"/>
      <w:szCs w:val="22"/>
      <w:lang w:val="sl-SI"/>
    </w:rPr>
  </w:style>
  <w:style w:type="paragraph" w:customStyle="1" w:styleId="CharCharChar">
    <w:name w:val="Char Char Char"/>
    <w:basedOn w:val="Normal"/>
    <w:rsid w:val="00772D82"/>
    <w:pPr>
      <w:spacing w:after="160" w:line="240" w:lineRule="exact"/>
    </w:pPr>
    <w:rPr>
      <w:rFonts w:ascii="Tahoma" w:eastAsia="Times New Roman" w:hAnsi="Tahoma"/>
      <w:sz w:val="20"/>
      <w:szCs w:val="20"/>
    </w:rPr>
  </w:style>
  <w:style w:type="paragraph" w:customStyle="1" w:styleId="Char1CharCharCharCharCharChar">
    <w:name w:val="Char1 Char Char Char Char Char Char"/>
    <w:basedOn w:val="Normal"/>
    <w:rsid w:val="00996C14"/>
    <w:pPr>
      <w:spacing w:after="160" w:line="240" w:lineRule="exact"/>
    </w:pPr>
    <w:rPr>
      <w:rFonts w:ascii="Tahoma" w:eastAsia="Times New Roman" w:hAnsi="Tahoma"/>
      <w:sz w:val="20"/>
      <w:szCs w:val="20"/>
    </w:rPr>
  </w:style>
  <w:style w:type="character" w:customStyle="1" w:styleId="Heading2Char">
    <w:name w:val="Heading 2 Char"/>
    <w:link w:val="Heading2"/>
    <w:uiPriority w:val="9"/>
    <w:rsid w:val="00A3237A"/>
    <w:rPr>
      <w:rFonts w:ascii="Times New Roman Bold" w:eastAsia="Times New Roman" w:hAnsi="Times New Roman Bold"/>
      <w:b/>
      <w:caps/>
      <w:sz w:val="24"/>
      <w:szCs w:val="24"/>
    </w:rPr>
  </w:style>
  <w:style w:type="character" w:customStyle="1" w:styleId="Heading3Char">
    <w:name w:val="Heading 3 Char"/>
    <w:link w:val="Heading3"/>
    <w:uiPriority w:val="9"/>
    <w:rsid w:val="005506B9"/>
    <w:rPr>
      <w:rFonts w:ascii="Times New Roman" w:eastAsia="Times New Roman" w:hAnsi="Times New Roman"/>
      <w:b/>
      <w:spacing w:val="5"/>
      <w:sz w:val="24"/>
      <w:szCs w:val="24"/>
    </w:rPr>
  </w:style>
  <w:style w:type="character" w:customStyle="1" w:styleId="Heading1Char">
    <w:name w:val="Heading 1 Char"/>
    <w:link w:val="Heading1"/>
    <w:uiPriority w:val="9"/>
    <w:rsid w:val="00550A65"/>
    <w:rPr>
      <w:rFonts w:ascii="Times New Roman Bold" w:eastAsia="Times New Roman" w:hAnsi="Times New Roman Bold"/>
      <w:b/>
      <w:caps/>
      <w:sz w:val="24"/>
      <w:szCs w:val="24"/>
    </w:rPr>
  </w:style>
  <w:style w:type="character" w:customStyle="1" w:styleId="Heading4Char">
    <w:name w:val="Heading 4 Char"/>
    <w:link w:val="Heading4"/>
    <w:uiPriority w:val="9"/>
    <w:rsid w:val="00550A65"/>
    <w:rPr>
      <w:rFonts w:ascii="Times New Roman" w:eastAsia="Times New Roman" w:hAnsi="Times New Roman"/>
      <w:b/>
      <w:sz w:val="24"/>
      <w:szCs w:val="24"/>
      <w:u w:val="single"/>
    </w:rPr>
  </w:style>
  <w:style w:type="character" w:customStyle="1" w:styleId="Heading5Char">
    <w:name w:val="Heading 5 Char"/>
    <w:link w:val="Heading5"/>
    <w:uiPriority w:val="9"/>
    <w:semiHidden/>
    <w:rsid w:val="00550A65"/>
    <w:rPr>
      <w:rFonts w:ascii="Times New Roman" w:eastAsia="Times New Roman" w:hAnsi="Times New Roman"/>
      <w:smallCaps/>
      <w:color w:val="943634"/>
      <w:spacing w:val="10"/>
      <w:sz w:val="22"/>
      <w:szCs w:val="26"/>
    </w:rPr>
  </w:style>
  <w:style w:type="character" w:customStyle="1" w:styleId="Heading6Char">
    <w:name w:val="Heading 6 Char"/>
    <w:link w:val="Heading6"/>
    <w:uiPriority w:val="9"/>
    <w:semiHidden/>
    <w:rsid w:val="00550A65"/>
    <w:rPr>
      <w:rFonts w:ascii="Times New Roman" w:eastAsia="Times New Roman" w:hAnsi="Times New Roman"/>
      <w:smallCaps/>
      <w:color w:val="C0504D"/>
      <w:spacing w:val="5"/>
      <w:sz w:val="22"/>
    </w:rPr>
  </w:style>
  <w:style w:type="character" w:customStyle="1" w:styleId="Heading7Char">
    <w:name w:val="Heading 7 Char"/>
    <w:link w:val="Heading7"/>
    <w:uiPriority w:val="9"/>
    <w:semiHidden/>
    <w:rsid w:val="00550A65"/>
    <w:rPr>
      <w:rFonts w:ascii="Times New Roman" w:eastAsia="Times New Roman" w:hAnsi="Times New Roman"/>
      <w:b/>
      <w:smallCaps/>
      <w:color w:val="C0504D"/>
      <w:spacing w:val="10"/>
      <w:sz w:val="24"/>
    </w:rPr>
  </w:style>
  <w:style w:type="character" w:customStyle="1" w:styleId="Heading8Char">
    <w:name w:val="Heading 8 Char"/>
    <w:link w:val="Heading8"/>
    <w:uiPriority w:val="9"/>
    <w:semiHidden/>
    <w:rsid w:val="00550A65"/>
    <w:rPr>
      <w:rFonts w:ascii="Times New Roman" w:eastAsia="Times New Roman" w:hAnsi="Times New Roman"/>
      <w:b/>
      <w:i/>
      <w:smallCaps/>
      <w:color w:val="943634"/>
      <w:sz w:val="24"/>
    </w:rPr>
  </w:style>
  <w:style w:type="character" w:customStyle="1" w:styleId="Heading9Char">
    <w:name w:val="Heading 9 Char"/>
    <w:link w:val="Heading9"/>
    <w:uiPriority w:val="9"/>
    <w:semiHidden/>
    <w:rsid w:val="00550A65"/>
    <w:rPr>
      <w:rFonts w:ascii="Times New Roman" w:eastAsia="Times New Roman" w:hAnsi="Times New Roman"/>
      <w:b/>
      <w:i/>
      <w:smallCaps/>
      <w:color w:val="622423"/>
      <w:sz w:val="24"/>
    </w:rPr>
  </w:style>
  <w:style w:type="paragraph" w:customStyle="1" w:styleId="Default">
    <w:name w:val="Default"/>
    <w:rsid w:val="00550A65"/>
    <w:pPr>
      <w:autoSpaceDE w:val="0"/>
      <w:autoSpaceDN w:val="0"/>
      <w:adjustRightInd w:val="0"/>
      <w:spacing w:after="200" w:line="276" w:lineRule="auto"/>
      <w:jc w:val="both"/>
    </w:pPr>
    <w:rPr>
      <w:rFonts w:ascii="Times New Roman" w:eastAsia="Times New Roman" w:hAnsi="Times New Roman"/>
      <w:color w:val="000000"/>
      <w:sz w:val="24"/>
      <w:szCs w:val="24"/>
    </w:rPr>
  </w:style>
  <w:style w:type="paragraph" w:customStyle="1" w:styleId="Subarticle">
    <w:name w:val="Subarticle"/>
    <w:basedOn w:val="Normal"/>
    <w:link w:val="SubarticleChar"/>
    <w:rsid w:val="00550A65"/>
    <w:pPr>
      <w:spacing w:before="100" w:beforeAutospacing="1" w:after="0" w:afterAutospacing="1" w:line="240" w:lineRule="auto"/>
      <w:ind w:left="720" w:hanging="720"/>
      <w:jc w:val="both"/>
    </w:pPr>
    <w:rPr>
      <w:rFonts w:eastAsia="Times New Roman"/>
      <w:b/>
      <w:szCs w:val="24"/>
    </w:rPr>
  </w:style>
  <w:style w:type="character" w:customStyle="1" w:styleId="SubarticleChar">
    <w:name w:val="Subarticle Char"/>
    <w:link w:val="Subarticle"/>
    <w:rsid w:val="00550A65"/>
    <w:rPr>
      <w:rFonts w:ascii="Times New Roman" w:eastAsia="Times New Roman" w:hAnsi="Times New Roman"/>
      <w:b/>
      <w:sz w:val="24"/>
      <w:szCs w:val="24"/>
    </w:rPr>
  </w:style>
  <w:style w:type="paragraph" w:customStyle="1" w:styleId="Article">
    <w:name w:val="Article"/>
    <w:basedOn w:val="Normal"/>
    <w:link w:val="ArticleChar"/>
    <w:rsid w:val="00550A65"/>
    <w:pPr>
      <w:spacing w:before="100" w:beforeAutospacing="1" w:after="0" w:afterAutospacing="1" w:line="240" w:lineRule="auto"/>
      <w:ind w:left="1871" w:hanging="1871"/>
      <w:jc w:val="both"/>
    </w:pPr>
    <w:rPr>
      <w:rFonts w:eastAsia="Times New Roman"/>
      <w:b/>
      <w:szCs w:val="24"/>
    </w:rPr>
  </w:style>
  <w:style w:type="character" w:customStyle="1" w:styleId="ArticleChar">
    <w:name w:val="Article Char"/>
    <w:link w:val="Article"/>
    <w:rsid w:val="00550A65"/>
    <w:rPr>
      <w:rFonts w:ascii="Times New Roman" w:eastAsia="Times New Roman" w:hAnsi="Times New Roman"/>
      <w:b/>
      <w:sz w:val="24"/>
      <w:szCs w:val="24"/>
    </w:rPr>
  </w:style>
  <w:style w:type="paragraph" w:customStyle="1" w:styleId="Contact">
    <w:name w:val="Contact"/>
    <w:basedOn w:val="Normal"/>
    <w:next w:val="Normal"/>
    <w:rsid w:val="00550A65"/>
    <w:pPr>
      <w:spacing w:before="480" w:beforeAutospacing="1" w:after="0" w:afterAutospacing="1" w:line="240" w:lineRule="auto"/>
      <w:ind w:left="567" w:hanging="567"/>
    </w:pPr>
    <w:rPr>
      <w:rFonts w:eastAsia="Times New Roman"/>
      <w:szCs w:val="20"/>
    </w:rPr>
  </w:style>
  <w:style w:type="paragraph" w:styleId="ListBullet">
    <w:name w:val="List Bullet"/>
    <w:basedOn w:val="Normal"/>
    <w:rsid w:val="00550A65"/>
    <w:pPr>
      <w:numPr>
        <w:numId w:val="27"/>
      </w:numPr>
      <w:spacing w:before="100" w:beforeAutospacing="1" w:after="100" w:afterAutospacing="1" w:line="240" w:lineRule="auto"/>
      <w:jc w:val="both"/>
    </w:pPr>
    <w:rPr>
      <w:rFonts w:eastAsia="Times New Roman"/>
      <w:szCs w:val="20"/>
    </w:rPr>
  </w:style>
  <w:style w:type="paragraph" w:customStyle="1" w:styleId="ListBullet1">
    <w:name w:val="List Bullet 1"/>
    <w:basedOn w:val="Normal"/>
    <w:rsid w:val="00550A65"/>
    <w:pPr>
      <w:numPr>
        <w:numId w:val="28"/>
      </w:numPr>
      <w:spacing w:before="100" w:beforeAutospacing="1" w:after="100" w:afterAutospacing="1" w:line="240" w:lineRule="auto"/>
      <w:jc w:val="both"/>
    </w:pPr>
    <w:rPr>
      <w:rFonts w:eastAsia="Times New Roman"/>
      <w:b/>
      <w:szCs w:val="20"/>
    </w:rPr>
  </w:style>
  <w:style w:type="paragraph" w:styleId="ListBullet2">
    <w:name w:val="List Bullet 2"/>
    <w:basedOn w:val="Normal"/>
    <w:rsid w:val="00550A65"/>
    <w:pPr>
      <w:numPr>
        <w:numId w:val="29"/>
      </w:numPr>
      <w:spacing w:before="100" w:beforeAutospacing="1" w:after="100" w:afterAutospacing="1" w:line="240" w:lineRule="auto"/>
      <w:jc w:val="both"/>
    </w:pPr>
    <w:rPr>
      <w:rFonts w:eastAsia="Times New Roman"/>
      <w:szCs w:val="20"/>
    </w:rPr>
  </w:style>
  <w:style w:type="paragraph" w:styleId="ListBullet3">
    <w:name w:val="List Bullet 3"/>
    <w:basedOn w:val="Normal"/>
    <w:rsid w:val="00550A65"/>
    <w:pPr>
      <w:numPr>
        <w:numId w:val="30"/>
      </w:numPr>
      <w:spacing w:before="100" w:beforeAutospacing="1" w:after="100" w:afterAutospacing="1" w:line="240" w:lineRule="auto"/>
      <w:jc w:val="both"/>
    </w:pPr>
    <w:rPr>
      <w:rFonts w:eastAsia="Times New Roman"/>
      <w:szCs w:val="20"/>
    </w:rPr>
  </w:style>
  <w:style w:type="paragraph" w:styleId="ListBullet4">
    <w:name w:val="List Bullet 4"/>
    <w:basedOn w:val="Normal"/>
    <w:rsid w:val="00550A65"/>
    <w:pPr>
      <w:numPr>
        <w:numId w:val="31"/>
      </w:numPr>
      <w:spacing w:before="100" w:beforeAutospacing="1" w:after="100" w:afterAutospacing="1" w:line="240" w:lineRule="auto"/>
      <w:jc w:val="both"/>
    </w:pPr>
    <w:rPr>
      <w:rFonts w:eastAsia="Times New Roman"/>
      <w:szCs w:val="20"/>
    </w:rPr>
  </w:style>
  <w:style w:type="paragraph" w:customStyle="1" w:styleId="ListDash1">
    <w:name w:val="List Dash 1"/>
    <w:basedOn w:val="Normal"/>
    <w:rsid w:val="00550A65"/>
    <w:pPr>
      <w:numPr>
        <w:numId w:val="32"/>
      </w:numPr>
      <w:spacing w:before="100" w:beforeAutospacing="1" w:after="100" w:afterAutospacing="1" w:line="240" w:lineRule="auto"/>
      <w:jc w:val="both"/>
    </w:pPr>
    <w:rPr>
      <w:rFonts w:eastAsia="Times New Roman"/>
      <w:b/>
      <w:szCs w:val="20"/>
    </w:rPr>
  </w:style>
  <w:style w:type="paragraph" w:customStyle="1" w:styleId="ListDash2">
    <w:name w:val="List Dash 2"/>
    <w:basedOn w:val="Normal"/>
    <w:rsid w:val="00550A65"/>
    <w:pPr>
      <w:numPr>
        <w:numId w:val="33"/>
      </w:numPr>
      <w:spacing w:before="100" w:beforeAutospacing="1" w:after="100" w:afterAutospacing="1" w:line="240" w:lineRule="auto"/>
      <w:jc w:val="both"/>
    </w:pPr>
    <w:rPr>
      <w:rFonts w:eastAsia="Times New Roman"/>
      <w:szCs w:val="20"/>
    </w:rPr>
  </w:style>
  <w:style w:type="paragraph" w:customStyle="1" w:styleId="ListDash3">
    <w:name w:val="List Dash 3"/>
    <w:basedOn w:val="Normal"/>
    <w:link w:val="ListDash3Char"/>
    <w:rsid w:val="00550A65"/>
    <w:pPr>
      <w:numPr>
        <w:numId w:val="34"/>
      </w:numPr>
      <w:spacing w:before="100" w:beforeAutospacing="1" w:after="100" w:afterAutospacing="1" w:line="240" w:lineRule="auto"/>
      <w:jc w:val="both"/>
    </w:pPr>
    <w:rPr>
      <w:rFonts w:eastAsia="Times New Roman"/>
      <w:szCs w:val="20"/>
    </w:rPr>
  </w:style>
  <w:style w:type="paragraph" w:customStyle="1" w:styleId="ListDash4">
    <w:name w:val="List Dash 4"/>
    <w:basedOn w:val="Normal"/>
    <w:rsid w:val="00550A65"/>
    <w:pPr>
      <w:numPr>
        <w:numId w:val="35"/>
      </w:numPr>
      <w:spacing w:before="100" w:beforeAutospacing="1" w:after="100" w:afterAutospacing="1" w:line="240" w:lineRule="auto"/>
      <w:jc w:val="both"/>
    </w:pPr>
    <w:rPr>
      <w:rFonts w:eastAsia="Times New Roman"/>
      <w:szCs w:val="20"/>
    </w:rPr>
  </w:style>
  <w:style w:type="paragraph" w:styleId="ListNumber">
    <w:name w:val="List Number"/>
    <w:basedOn w:val="Normal"/>
    <w:rsid w:val="00550A65"/>
    <w:pPr>
      <w:numPr>
        <w:numId w:val="36"/>
      </w:numPr>
      <w:spacing w:before="100" w:beforeAutospacing="1" w:after="100" w:afterAutospacing="1" w:line="240" w:lineRule="auto"/>
      <w:jc w:val="both"/>
    </w:pPr>
    <w:rPr>
      <w:rFonts w:eastAsia="Times New Roman"/>
      <w:szCs w:val="20"/>
    </w:rPr>
  </w:style>
  <w:style w:type="paragraph" w:customStyle="1" w:styleId="ListNumber1">
    <w:name w:val="List Number 1"/>
    <w:basedOn w:val="Normal"/>
    <w:rsid w:val="00550A65"/>
    <w:pPr>
      <w:numPr>
        <w:numId w:val="37"/>
      </w:numPr>
      <w:spacing w:before="100" w:beforeAutospacing="1" w:after="100" w:afterAutospacing="1" w:line="240" w:lineRule="auto"/>
      <w:jc w:val="both"/>
    </w:pPr>
    <w:rPr>
      <w:rFonts w:eastAsia="Times New Roman"/>
      <w:b/>
      <w:szCs w:val="20"/>
    </w:rPr>
  </w:style>
  <w:style w:type="paragraph" w:styleId="ListNumber2">
    <w:name w:val="List Number 2"/>
    <w:basedOn w:val="Normal"/>
    <w:rsid w:val="00550A65"/>
    <w:pPr>
      <w:numPr>
        <w:numId w:val="38"/>
      </w:numPr>
      <w:spacing w:before="100" w:beforeAutospacing="1" w:after="100" w:afterAutospacing="1" w:line="240" w:lineRule="auto"/>
      <w:jc w:val="both"/>
    </w:pPr>
    <w:rPr>
      <w:rFonts w:eastAsia="Times New Roman"/>
      <w:szCs w:val="20"/>
    </w:rPr>
  </w:style>
  <w:style w:type="paragraph" w:styleId="ListNumber3">
    <w:name w:val="List Number 3"/>
    <w:basedOn w:val="Normal"/>
    <w:rsid w:val="00550A65"/>
    <w:pPr>
      <w:numPr>
        <w:numId w:val="39"/>
      </w:numPr>
      <w:spacing w:before="100" w:beforeAutospacing="1" w:after="100" w:afterAutospacing="1" w:line="240" w:lineRule="auto"/>
      <w:jc w:val="both"/>
    </w:pPr>
    <w:rPr>
      <w:rFonts w:eastAsia="Times New Roman"/>
      <w:szCs w:val="20"/>
    </w:rPr>
  </w:style>
  <w:style w:type="paragraph" w:styleId="ListNumber4">
    <w:name w:val="List Number 4"/>
    <w:basedOn w:val="Normal"/>
    <w:rsid w:val="00550A65"/>
    <w:pPr>
      <w:numPr>
        <w:numId w:val="40"/>
      </w:numPr>
      <w:spacing w:before="100" w:beforeAutospacing="1" w:after="100" w:afterAutospacing="1" w:line="240" w:lineRule="auto"/>
      <w:jc w:val="both"/>
    </w:pPr>
    <w:rPr>
      <w:rFonts w:eastAsia="Times New Roman"/>
      <w:szCs w:val="20"/>
    </w:rPr>
  </w:style>
  <w:style w:type="paragraph" w:customStyle="1" w:styleId="ListNumberLevel2">
    <w:name w:val="List Number (Level 2)"/>
    <w:basedOn w:val="Normal"/>
    <w:rsid w:val="00550A65"/>
    <w:pPr>
      <w:numPr>
        <w:ilvl w:val="1"/>
        <w:numId w:val="36"/>
      </w:numPr>
      <w:spacing w:before="100" w:beforeAutospacing="1" w:after="100" w:afterAutospacing="1" w:line="240" w:lineRule="auto"/>
      <w:jc w:val="both"/>
    </w:pPr>
    <w:rPr>
      <w:rFonts w:eastAsia="Times New Roman"/>
      <w:szCs w:val="20"/>
    </w:rPr>
  </w:style>
  <w:style w:type="paragraph" w:customStyle="1" w:styleId="ListNumber1Level2">
    <w:name w:val="List Number 1 (Level 2)"/>
    <w:basedOn w:val="Normal"/>
    <w:rsid w:val="00550A65"/>
    <w:pPr>
      <w:numPr>
        <w:ilvl w:val="1"/>
        <w:numId w:val="37"/>
      </w:numPr>
      <w:spacing w:before="100" w:beforeAutospacing="1" w:after="100" w:afterAutospacing="1" w:line="240" w:lineRule="auto"/>
      <w:jc w:val="both"/>
    </w:pPr>
    <w:rPr>
      <w:rFonts w:eastAsia="Times New Roman"/>
      <w:b/>
      <w:szCs w:val="20"/>
    </w:rPr>
  </w:style>
  <w:style w:type="paragraph" w:customStyle="1" w:styleId="ListNumber2Level2">
    <w:name w:val="List Number 2 (Level 2)"/>
    <w:basedOn w:val="Normal"/>
    <w:rsid w:val="00550A65"/>
    <w:pPr>
      <w:numPr>
        <w:ilvl w:val="1"/>
        <w:numId w:val="38"/>
      </w:numPr>
      <w:spacing w:before="100" w:beforeAutospacing="1" w:after="100" w:afterAutospacing="1" w:line="240" w:lineRule="auto"/>
      <w:jc w:val="both"/>
    </w:pPr>
    <w:rPr>
      <w:rFonts w:eastAsia="Times New Roman"/>
      <w:szCs w:val="20"/>
    </w:rPr>
  </w:style>
  <w:style w:type="paragraph" w:customStyle="1" w:styleId="ListNumber3Level2">
    <w:name w:val="List Number 3 (Level 2)"/>
    <w:basedOn w:val="Normal"/>
    <w:rsid w:val="00550A65"/>
    <w:pPr>
      <w:numPr>
        <w:ilvl w:val="1"/>
        <w:numId w:val="39"/>
      </w:numPr>
      <w:spacing w:before="100" w:beforeAutospacing="1" w:after="100" w:afterAutospacing="1" w:line="240" w:lineRule="auto"/>
      <w:jc w:val="both"/>
    </w:pPr>
    <w:rPr>
      <w:rFonts w:eastAsia="Times New Roman"/>
      <w:szCs w:val="20"/>
    </w:rPr>
  </w:style>
  <w:style w:type="paragraph" w:customStyle="1" w:styleId="ListNumber4Level2">
    <w:name w:val="List Number 4 (Level 2)"/>
    <w:basedOn w:val="Normal"/>
    <w:rsid w:val="00550A65"/>
    <w:pPr>
      <w:numPr>
        <w:ilvl w:val="1"/>
        <w:numId w:val="40"/>
      </w:numPr>
      <w:spacing w:before="100" w:beforeAutospacing="1" w:after="100" w:afterAutospacing="1" w:line="240" w:lineRule="auto"/>
      <w:jc w:val="both"/>
    </w:pPr>
    <w:rPr>
      <w:rFonts w:eastAsia="Times New Roman"/>
      <w:szCs w:val="20"/>
    </w:rPr>
  </w:style>
  <w:style w:type="paragraph" w:customStyle="1" w:styleId="ListNumberLevel3">
    <w:name w:val="List Number (Level 3)"/>
    <w:basedOn w:val="Normal"/>
    <w:rsid w:val="00550A65"/>
    <w:pPr>
      <w:numPr>
        <w:ilvl w:val="2"/>
        <w:numId w:val="36"/>
      </w:numPr>
      <w:spacing w:before="100" w:beforeAutospacing="1" w:after="100" w:afterAutospacing="1" w:line="240" w:lineRule="auto"/>
      <w:jc w:val="both"/>
    </w:pPr>
    <w:rPr>
      <w:rFonts w:eastAsia="Times New Roman"/>
      <w:szCs w:val="20"/>
    </w:rPr>
  </w:style>
  <w:style w:type="paragraph" w:customStyle="1" w:styleId="ListNumber1Level3">
    <w:name w:val="List Number 1 (Level 3)"/>
    <w:basedOn w:val="Normal"/>
    <w:rsid w:val="00550A65"/>
    <w:pPr>
      <w:numPr>
        <w:ilvl w:val="2"/>
        <w:numId w:val="37"/>
      </w:numPr>
      <w:spacing w:before="100" w:beforeAutospacing="1" w:after="100" w:afterAutospacing="1" w:line="240" w:lineRule="auto"/>
      <w:jc w:val="both"/>
    </w:pPr>
    <w:rPr>
      <w:rFonts w:eastAsia="Times New Roman"/>
      <w:b/>
      <w:szCs w:val="20"/>
    </w:rPr>
  </w:style>
  <w:style w:type="paragraph" w:customStyle="1" w:styleId="ListNumber2Level3">
    <w:name w:val="List Number 2 (Level 3)"/>
    <w:basedOn w:val="Normal"/>
    <w:rsid w:val="00550A65"/>
    <w:pPr>
      <w:numPr>
        <w:ilvl w:val="2"/>
        <w:numId w:val="38"/>
      </w:numPr>
      <w:spacing w:before="100" w:beforeAutospacing="1" w:after="100" w:afterAutospacing="1" w:line="240" w:lineRule="auto"/>
      <w:jc w:val="both"/>
    </w:pPr>
    <w:rPr>
      <w:rFonts w:eastAsia="Times New Roman"/>
      <w:szCs w:val="20"/>
    </w:rPr>
  </w:style>
  <w:style w:type="paragraph" w:customStyle="1" w:styleId="ListNumber3Level3">
    <w:name w:val="List Number 3 (Level 3)"/>
    <w:basedOn w:val="Normal"/>
    <w:rsid w:val="00550A65"/>
    <w:pPr>
      <w:numPr>
        <w:ilvl w:val="2"/>
        <w:numId w:val="39"/>
      </w:numPr>
      <w:spacing w:before="100" w:beforeAutospacing="1" w:after="100" w:afterAutospacing="1" w:line="240" w:lineRule="auto"/>
      <w:jc w:val="both"/>
    </w:pPr>
    <w:rPr>
      <w:rFonts w:eastAsia="Times New Roman"/>
      <w:szCs w:val="20"/>
    </w:rPr>
  </w:style>
  <w:style w:type="paragraph" w:customStyle="1" w:styleId="ListNumber4Level3">
    <w:name w:val="List Number 4 (Level 3)"/>
    <w:basedOn w:val="Normal"/>
    <w:rsid w:val="00550A65"/>
    <w:pPr>
      <w:numPr>
        <w:ilvl w:val="2"/>
        <w:numId w:val="40"/>
      </w:numPr>
      <w:spacing w:before="100" w:beforeAutospacing="1" w:after="100" w:afterAutospacing="1" w:line="240" w:lineRule="auto"/>
      <w:jc w:val="both"/>
    </w:pPr>
    <w:rPr>
      <w:rFonts w:eastAsia="Times New Roman"/>
      <w:szCs w:val="20"/>
    </w:rPr>
  </w:style>
  <w:style w:type="paragraph" w:customStyle="1" w:styleId="ListNumberLevel4">
    <w:name w:val="List Number (Level 4)"/>
    <w:basedOn w:val="Normal"/>
    <w:rsid w:val="00550A65"/>
    <w:pPr>
      <w:numPr>
        <w:ilvl w:val="3"/>
        <w:numId w:val="36"/>
      </w:numPr>
      <w:spacing w:before="100" w:beforeAutospacing="1" w:after="100" w:afterAutospacing="1" w:line="240" w:lineRule="auto"/>
      <w:jc w:val="both"/>
    </w:pPr>
    <w:rPr>
      <w:rFonts w:eastAsia="Times New Roman"/>
      <w:szCs w:val="20"/>
    </w:rPr>
  </w:style>
  <w:style w:type="paragraph" w:customStyle="1" w:styleId="ListNumber1Level4">
    <w:name w:val="List Number 1 (Level 4)"/>
    <w:basedOn w:val="Normal"/>
    <w:rsid w:val="00550A65"/>
    <w:pPr>
      <w:numPr>
        <w:ilvl w:val="3"/>
        <w:numId w:val="37"/>
      </w:numPr>
      <w:spacing w:before="100" w:beforeAutospacing="1" w:after="100" w:afterAutospacing="1" w:line="240" w:lineRule="auto"/>
      <w:jc w:val="both"/>
    </w:pPr>
    <w:rPr>
      <w:rFonts w:eastAsia="Times New Roman"/>
      <w:b/>
      <w:szCs w:val="20"/>
    </w:rPr>
  </w:style>
  <w:style w:type="paragraph" w:customStyle="1" w:styleId="ListNumber2Level4">
    <w:name w:val="List Number 2 (Level 4)"/>
    <w:basedOn w:val="Normal"/>
    <w:rsid w:val="00550A65"/>
    <w:pPr>
      <w:numPr>
        <w:ilvl w:val="3"/>
        <w:numId w:val="38"/>
      </w:numPr>
      <w:spacing w:before="100" w:beforeAutospacing="1" w:after="100" w:afterAutospacing="1" w:line="240" w:lineRule="auto"/>
      <w:jc w:val="both"/>
    </w:pPr>
    <w:rPr>
      <w:rFonts w:eastAsia="Times New Roman"/>
      <w:szCs w:val="20"/>
    </w:rPr>
  </w:style>
  <w:style w:type="paragraph" w:customStyle="1" w:styleId="ListNumber3Level4">
    <w:name w:val="List Number 3 (Level 4)"/>
    <w:basedOn w:val="Normal"/>
    <w:rsid w:val="00550A65"/>
    <w:pPr>
      <w:numPr>
        <w:ilvl w:val="3"/>
        <w:numId w:val="39"/>
      </w:numPr>
      <w:spacing w:before="100" w:beforeAutospacing="1" w:after="100" w:afterAutospacing="1" w:line="240" w:lineRule="auto"/>
      <w:jc w:val="both"/>
    </w:pPr>
    <w:rPr>
      <w:rFonts w:eastAsia="Times New Roman"/>
      <w:szCs w:val="20"/>
    </w:rPr>
  </w:style>
  <w:style w:type="paragraph" w:customStyle="1" w:styleId="ListNumber4Level4">
    <w:name w:val="List Number 4 (Level 4)"/>
    <w:basedOn w:val="Normal"/>
    <w:rsid w:val="00550A65"/>
    <w:pPr>
      <w:numPr>
        <w:ilvl w:val="3"/>
        <w:numId w:val="40"/>
      </w:numPr>
      <w:spacing w:before="100" w:beforeAutospacing="1" w:after="100" w:afterAutospacing="1" w:line="240" w:lineRule="auto"/>
      <w:jc w:val="both"/>
    </w:pPr>
    <w:rPr>
      <w:rFonts w:eastAsia="Times New Roman"/>
      <w:szCs w:val="20"/>
    </w:rPr>
  </w:style>
  <w:style w:type="paragraph" w:styleId="TOC5">
    <w:name w:val="toc 5"/>
    <w:basedOn w:val="Normal"/>
    <w:next w:val="Normal"/>
    <w:uiPriority w:val="39"/>
    <w:rsid w:val="00550A65"/>
    <w:pPr>
      <w:tabs>
        <w:tab w:val="right" w:leader="dot" w:pos="8641"/>
      </w:tabs>
      <w:spacing w:before="240" w:beforeAutospacing="1" w:after="120" w:afterAutospacing="1" w:line="240" w:lineRule="auto"/>
      <w:ind w:right="720"/>
      <w:jc w:val="both"/>
    </w:pPr>
    <w:rPr>
      <w:rFonts w:eastAsia="Times New Roman"/>
      <w:caps/>
      <w:szCs w:val="20"/>
    </w:rPr>
  </w:style>
  <w:style w:type="paragraph" w:styleId="TOCHeading">
    <w:name w:val="TOC Heading"/>
    <w:basedOn w:val="Normal"/>
    <w:next w:val="Normal"/>
    <w:uiPriority w:val="39"/>
    <w:qFormat/>
    <w:rsid w:val="00550A65"/>
    <w:pPr>
      <w:keepNext/>
      <w:spacing w:before="240" w:beforeAutospacing="1" w:after="100" w:afterAutospacing="1" w:line="240" w:lineRule="auto"/>
      <w:jc w:val="center"/>
    </w:pPr>
    <w:rPr>
      <w:rFonts w:eastAsia="Times New Roman"/>
      <w:b/>
      <w:szCs w:val="20"/>
    </w:rPr>
  </w:style>
  <w:style w:type="paragraph" w:styleId="TOC1">
    <w:name w:val="toc 1"/>
    <w:basedOn w:val="Normal"/>
    <w:next w:val="Normal"/>
    <w:uiPriority w:val="39"/>
    <w:rsid w:val="00550A65"/>
    <w:pPr>
      <w:tabs>
        <w:tab w:val="right" w:leader="dot" w:pos="8640"/>
      </w:tabs>
      <w:spacing w:before="120" w:beforeAutospacing="1" w:after="120" w:afterAutospacing="1" w:line="240" w:lineRule="auto"/>
      <w:ind w:left="482" w:right="720" w:hanging="482"/>
      <w:jc w:val="both"/>
    </w:pPr>
    <w:rPr>
      <w:rFonts w:eastAsia="Times New Roman"/>
      <w:b/>
      <w:caps/>
      <w:szCs w:val="20"/>
    </w:rPr>
  </w:style>
  <w:style w:type="paragraph" w:styleId="TOC2">
    <w:name w:val="toc 2"/>
    <w:basedOn w:val="Normal"/>
    <w:next w:val="Normal"/>
    <w:uiPriority w:val="39"/>
    <w:rsid w:val="00550A65"/>
    <w:pPr>
      <w:tabs>
        <w:tab w:val="right" w:leader="dot" w:pos="8640"/>
      </w:tabs>
      <w:spacing w:before="60" w:beforeAutospacing="1" w:after="60" w:afterAutospacing="1" w:line="240" w:lineRule="auto"/>
      <w:ind w:left="1077" w:right="720" w:hanging="595"/>
      <w:jc w:val="both"/>
    </w:pPr>
    <w:rPr>
      <w:rFonts w:eastAsia="Times New Roman"/>
      <w:szCs w:val="20"/>
    </w:rPr>
  </w:style>
  <w:style w:type="paragraph" w:styleId="TOC3">
    <w:name w:val="toc 3"/>
    <w:basedOn w:val="Normal"/>
    <w:next w:val="Normal"/>
    <w:uiPriority w:val="39"/>
    <w:rsid w:val="00550A65"/>
    <w:pPr>
      <w:tabs>
        <w:tab w:val="right" w:leader="dot" w:pos="8640"/>
      </w:tabs>
      <w:spacing w:before="60" w:beforeAutospacing="1" w:after="60" w:afterAutospacing="1" w:line="240" w:lineRule="auto"/>
      <w:ind w:left="1916" w:right="720" w:hanging="839"/>
      <w:jc w:val="both"/>
    </w:pPr>
    <w:rPr>
      <w:rFonts w:eastAsia="Times New Roman"/>
      <w:szCs w:val="20"/>
    </w:rPr>
  </w:style>
  <w:style w:type="paragraph" w:styleId="TOC4">
    <w:name w:val="toc 4"/>
    <w:basedOn w:val="Normal"/>
    <w:next w:val="Normal"/>
    <w:uiPriority w:val="39"/>
    <w:rsid w:val="00550A65"/>
    <w:pPr>
      <w:tabs>
        <w:tab w:val="right" w:leader="dot" w:pos="8641"/>
      </w:tabs>
      <w:spacing w:before="60" w:beforeAutospacing="1" w:after="60" w:afterAutospacing="1" w:line="240" w:lineRule="auto"/>
      <w:ind w:left="2880" w:right="720" w:hanging="964"/>
      <w:jc w:val="both"/>
    </w:pPr>
    <w:rPr>
      <w:rFonts w:eastAsia="Times New Roman"/>
      <w:szCs w:val="20"/>
    </w:rPr>
  </w:style>
  <w:style w:type="paragraph" w:styleId="TOC6">
    <w:name w:val="toc 6"/>
    <w:basedOn w:val="Normal"/>
    <w:next w:val="Normal"/>
    <w:autoRedefine/>
    <w:uiPriority w:val="39"/>
    <w:unhideWhenUsed/>
    <w:rsid w:val="00550A65"/>
    <w:pPr>
      <w:spacing w:before="100" w:beforeAutospacing="1" w:after="100" w:afterAutospacing="1" w:line="240" w:lineRule="auto"/>
      <w:ind w:left="1100"/>
      <w:jc w:val="both"/>
    </w:pPr>
    <w:rPr>
      <w:rFonts w:eastAsia="Times New Roman"/>
      <w:szCs w:val="20"/>
    </w:rPr>
  </w:style>
  <w:style w:type="paragraph" w:styleId="TOC7">
    <w:name w:val="toc 7"/>
    <w:basedOn w:val="Normal"/>
    <w:next w:val="Normal"/>
    <w:autoRedefine/>
    <w:uiPriority w:val="39"/>
    <w:unhideWhenUsed/>
    <w:rsid w:val="00550A65"/>
    <w:pPr>
      <w:spacing w:before="100" w:beforeAutospacing="1" w:after="100" w:afterAutospacing="1" w:line="240" w:lineRule="auto"/>
      <w:ind w:left="1320"/>
      <w:jc w:val="both"/>
    </w:pPr>
    <w:rPr>
      <w:rFonts w:eastAsia="Times New Roman"/>
      <w:szCs w:val="20"/>
    </w:rPr>
  </w:style>
  <w:style w:type="paragraph" w:styleId="TOC8">
    <w:name w:val="toc 8"/>
    <w:basedOn w:val="Normal"/>
    <w:next w:val="Normal"/>
    <w:autoRedefine/>
    <w:uiPriority w:val="39"/>
    <w:unhideWhenUsed/>
    <w:rsid w:val="00550A65"/>
    <w:pPr>
      <w:spacing w:before="100" w:beforeAutospacing="1" w:after="100" w:afterAutospacing="1" w:line="240" w:lineRule="auto"/>
      <w:ind w:left="1540"/>
      <w:jc w:val="both"/>
    </w:pPr>
    <w:rPr>
      <w:rFonts w:eastAsia="Times New Roman"/>
      <w:szCs w:val="20"/>
    </w:rPr>
  </w:style>
  <w:style w:type="paragraph" w:styleId="TOC9">
    <w:name w:val="toc 9"/>
    <w:basedOn w:val="Normal"/>
    <w:next w:val="Normal"/>
    <w:autoRedefine/>
    <w:uiPriority w:val="39"/>
    <w:unhideWhenUsed/>
    <w:rsid w:val="00550A65"/>
    <w:pPr>
      <w:spacing w:before="100" w:beforeAutospacing="1" w:after="100" w:afterAutospacing="1" w:line="240" w:lineRule="auto"/>
      <w:ind w:left="1760"/>
      <w:jc w:val="both"/>
    </w:pPr>
    <w:rPr>
      <w:rFonts w:eastAsia="Times New Roman"/>
      <w:szCs w:val="20"/>
    </w:rPr>
  </w:style>
  <w:style w:type="paragraph" w:styleId="Caption">
    <w:name w:val="caption"/>
    <w:basedOn w:val="Normal"/>
    <w:next w:val="Normal"/>
    <w:uiPriority w:val="35"/>
    <w:semiHidden/>
    <w:unhideWhenUsed/>
    <w:qFormat/>
    <w:rsid w:val="00550A65"/>
    <w:pPr>
      <w:spacing w:before="100" w:beforeAutospacing="1" w:after="100" w:afterAutospacing="1" w:line="240" w:lineRule="auto"/>
      <w:jc w:val="both"/>
    </w:pPr>
    <w:rPr>
      <w:rFonts w:eastAsia="Times New Roman"/>
      <w:b/>
      <w:bCs/>
      <w:caps/>
      <w:sz w:val="16"/>
      <w:szCs w:val="18"/>
    </w:rPr>
  </w:style>
  <w:style w:type="paragraph" w:styleId="Subtitle">
    <w:name w:val="Subtitle"/>
    <w:basedOn w:val="Normal"/>
    <w:next w:val="Normal"/>
    <w:link w:val="SubtitleChar"/>
    <w:uiPriority w:val="11"/>
    <w:rsid w:val="00550A65"/>
    <w:pPr>
      <w:spacing w:before="100" w:beforeAutospacing="1" w:after="720" w:afterAutospacing="1" w:line="240" w:lineRule="auto"/>
      <w:jc w:val="right"/>
    </w:pPr>
    <w:rPr>
      <w:rFonts w:ascii="Cambria" w:eastAsia="Times New Roman" w:hAnsi="Cambria"/>
    </w:rPr>
  </w:style>
  <w:style w:type="character" w:customStyle="1" w:styleId="SubtitleChar">
    <w:name w:val="Subtitle Char"/>
    <w:link w:val="Subtitle"/>
    <w:uiPriority w:val="11"/>
    <w:rsid w:val="00550A65"/>
    <w:rPr>
      <w:rFonts w:ascii="Cambria" w:eastAsia="Times New Roman" w:hAnsi="Cambria"/>
      <w:sz w:val="24"/>
      <w:szCs w:val="22"/>
    </w:rPr>
  </w:style>
  <w:style w:type="character" w:styleId="Strong">
    <w:name w:val="Strong"/>
    <w:uiPriority w:val="22"/>
    <w:qFormat/>
    <w:rsid w:val="00550A65"/>
    <w:rPr>
      <w:b/>
      <w:color w:val="C0504D"/>
    </w:rPr>
  </w:style>
  <w:style w:type="paragraph" w:styleId="NoSpacing">
    <w:name w:val="No Spacing"/>
    <w:basedOn w:val="Normal"/>
    <w:link w:val="NoSpacingChar"/>
    <w:uiPriority w:val="1"/>
    <w:qFormat/>
    <w:rsid w:val="00550A65"/>
    <w:pPr>
      <w:spacing w:before="100" w:beforeAutospacing="1" w:after="0" w:afterAutospacing="1" w:line="240" w:lineRule="auto"/>
      <w:jc w:val="both"/>
    </w:pPr>
    <w:rPr>
      <w:rFonts w:eastAsia="Times New Roman"/>
      <w:szCs w:val="20"/>
    </w:rPr>
  </w:style>
  <w:style w:type="character" w:customStyle="1" w:styleId="NoSpacingChar">
    <w:name w:val="No Spacing Char"/>
    <w:link w:val="NoSpacing"/>
    <w:uiPriority w:val="1"/>
    <w:rsid w:val="00550A65"/>
    <w:rPr>
      <w:rFonts w:ascii="Times New Roman" w:eastAsia="Times New Roman" w:hAnsi="Times New Roman"/>
      <w:sz w:val="24"/>
    </w:rPr>
  </w:style>
  <w:style w:type="paragraph" w:styleId="Quote">
    <w:name w:val="Quote"/>
    <w:basedOn w:val="Normal"/>
    <w:next w:val="Normal"/>
    <w:link w:val="QuoteChar"/>
    <w:uiPriority w:val="29"/>
    <w:rsid w:val="00550A65"/>
    <w:pPr>
      <w:spacing w:before="100" w:beforeAutospacing="1" w:after="100" w:afterAutospacing="1" w:line="240" w:lineRule="auto"/>
      <w:jc w:val="both"/>
    </w:pPr>
    <w:rPr>
      <w:rFonts w:eastAsia="Times New Roman"/>
      <w:i/>
      <w:szCs w:val="20"/>
    </w:rPr>
  </w:style>
  <w:style w:type="character" w:customStyle="1" w:styleId="QuoteChar">
    <w:name w:val="Quote Char"/>
    <w:link w:val="Quote"/>
    <w:uiPriority w:val="29"/>
    <w:rsid w:val="00550A65"/>
    <w:rPr>
      <w:rFonts w:ascii="Times New Roman" w:eastAsia="Times New Roman" w:hAnsi="Times New Roman"/>
      <w:i/>
      <w:sz w:val="24"/>
    </w:rPr>
  </w:style>
  <w:style w:type="paragraph" w:styleId="IntenseQuote">
    <w:name w:val="Intense Quote"/>
    <w:basedOn w:val="Normal"/>
    <w:next w:val="Normal"/>
    <w:link w:val="IntenseQuoteChar"/>
    <w:uiPriority w:val="30"/>
    <w:rsid w:val="00550A65"/>
    <w:pPr>
      <w:pBdr>
        <w:top w:val="single" w:sz="8" w:space="10" w:color="943634"/>
        <w:left w:val="single" w:sz="8" w:space="10" w:color="943634"/>
        <w:bottom w:val="single" w:sz="8" w:space="10" w:color="943634"/>
        <w:right w:val="single" w:sz="8" w:space="10" w:color="943634"/>
      </w:pBdr>
      <w:shd w:val="clear" w:color="auto" w:fill="C0504D"/>
      <w:spacing w:before="140" w:beforeAutospacing="1" w:after="140" w:afterAutospacing="1" w:line="240" w:lineRule="auto"/>
      <w:ind w:left="1440" w:right="1440"/>
      <w:jc w:val="both"/>
    </w:pPr>
    <w:rPr>
      <w:rFonts w:eastAsia="Times New Roman"/>
      <w:b/>
      <w:i/>
      <w:color w:val="FFFFFF"/>
      <w:szCs w:val="20"/>
    </w:rPr>
  </w:style>
  <w:style w:type="character" w:customStyle="1" w:styleId="IntenseQuoteChar">
    <w:name w:val="Intense Quote Char"/>
    <w:link w:val="IntenseQuote"/>
    <w:uiPriority w:val="30"/>
    <w:rsid w:val="00550A65"/>
    <w:rPr>
      <w:rFonts w:ascii="Times New Roman" w:eastAsia="Times New Roman" w:hAnsi="Times New Roman"/>
      <w:b/>
      <w:i/>
      <w:color w:val="FFFFFF"/>
      <w:sz w:val="24"/>
      <w:shd w:val="clear" w:color="auto" w:fill="C0504D"/>
    </w:rPr>
  </w:style>
  <w:style w:type="character" w:styleId="SubtleEmphasis">
    <w:name w:val="Subtle Emphasis"/>
    <w:uiPriority w:val="19"/>
    <w:rsid w:val="00550A65"/>
    <w:rPr>
      <w:i/>
    </w:rPr>
  </w:style>
  <w:style w:type="character" w:styleId="IntenseEmphasis">
    <w:name w:val="Intense Emphasis"/>
    <w:uiPriority w:val="21"/>
    <w:rsid w:val="00550A65"/>
    <w:rPr>
      <w:b/>
      <w:i/>
      <w:color w:val="C0504D"/>
      <w:spacing w:val="10"/>
    </w:rPr>
  </w:style>
  <w:style w:type="character" w:styleId="SubtleReference">
    <w:name w:val="Subtle Reference"/>
    <w:uiPriority w:val="31"/>
    <w:rsid w:val="00550A65"/>
    <w:rPr>
      <w:b/>
    </w:rPr>
  </w:style>
  <w:style w:type="character" w:styleId="IntenseReference">
    <w:name w:val="Intense Reference"/>
    <w:uiPriority w:val="32"/>
    <w:rsid w:val="00550A65"/>
    <w:rPr>
      <w:b/>
      <w:bCs/>
      <w:smallCaps/>
      <w:spacing w:val="5"/>
      <w:sz w:val="22"/>
      <w:szCs w:val="22"/>
      <w:u w:val="single"/>
    </w:rPr>
  </w:style>
  <w:style w:type="character" w:styleId="BookTitle">
    <w:name w:val="Book Title"/>
    <w:uiPriority w:val="33"/>
    <w:rsid w:val="00550A65"/>
    <w:rPr>
      <w:rFonts w:ascii="Cambria" w:eastAsia="Times New Roman" w:hAnsi="Cambria" w:cs="Times New Roman"/>
      <w:i/>
      <w:iCs/>
      <w:sz w:val="20"/>
      <w:szCs w:val="20"/>
    </w:rPr>
  </w:style>
  <w:style w:type="table" w:styleId="TableGrid">
    <w:name w:val="Table Grid"/>
    <w:basedOn w:val="TableNormal"/>
    <w:uiPriority w:val="59"/>
    <w:rsid w:val="00550A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550A65"/>
    <w:pPr>
      <w:spacing w:before="240" w:after="120" w:line="240" w:lineRule="auto"/>
      <w:jc w:val="center"/>
    </w:pPr>
    <w:rPr>
      <w:rFonts w:eastAsia="Times New Roman"/>
      <w:b/>
      <w:bCs/>
      <w:szCs w:val="24"/>
    </w:rPr>
  </w:style>
  <w:style w:type="character" w:customStyle="1" w:styleId="ListDash3Char">
    <w:name w:val="List Dash 3 Char"/>
    <w:link w:val="ListDash3"/>
    <w:rsid w:val="00550A65"/>
    <w:rPr>
      <w:rFonts w:ascii="Times New Roman" w:eastAsia="Times New Roman" w:hAnsi="Times New Roman"/>
      <w:sz w:val="24"/>
      <w:lang w:eastAsia="sl-SI"/>
    </w:rPr>
  </w:style>
  <w:style w:type="paragraph" w:customStyle="1" w:styleId="1">
    <w:name w:val="1"/>
    <w:basedOn w:val="Normal"/>
    <w:link w:val="FootnoteReference"/>
    <w:uiPriority w:val="99"/>
    <w:qFormat/>
    <w:rsid w:val="00BB4956"/>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62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2ff164c7110da05aa7bef6ce858b3aa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3edf6479cbf684ab3bf71b7bc5f562e7"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Grant agreements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B2E3B-3A80-456E-8853-E40C56A21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495EA-A5A4-472C-AF89-D6AFAEB8452B}">
  <ds:schemaRefs>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http://purl.org/dc/elements/1.1/"/>
    <ds:schemaRef ds:uri="http://schemas.microsoft.com/office/infopath/2007/PartnerControls"/>
    <ds:schemaRef ds:uri="09c8edfa-0c89-4db5-84aa-c604a671fbfe"/>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76F550AC-3517-4C1E-AC81-FD4789553D9C}">
  <ds:schemaRefs>
    <ds:schemaRef ds:uri="http://schemas.microsoft.com/sharepoint/v3/contenttype/forms"/>
  </ds:schemaRefs>
</ds:datastoreItem>
</file>

<file path=customXml/itemProps4.xml><?xml version="1.0" encoding="utf-8"?>
<ds:datastoreItem xmlns:ds="http://schemas.openxmlformats.org/officeDocument/2006/customXml" ds:itemID="{D7F6B336-7B5E-4FBD-92F0-547499847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12050</Words>
  <Characters>68686</Characters>
  <Application>Microsoft Office Word</Application>
  <DocSecurity>0</DocSecurity>
  <Lines>572</Lines>
  <Paragraphs>161</Paragraphs>
  <ScaleCrop>false</ScaleCrop>
  <HeadingPairs>
    <vt:vector size="6" baseType="variant">
      <vt:variant>
        <vt:lpstr>Title</vt:lpstr>
      </vt:variant>
      <vt:variant>
        <vt:i4>1</vt:i4>
      </vt:variant>
      <vt:variant>
        <vt:lpstr>Titre</vt:lpstr>
      </vt:variant>
      <vt:variant>
        <vt:i4>1</vt:i4>
      </vt:variant>
      <vt:variant>
        <vt:lpstr>Titres</vt:lpstr>
      </vt:variant>
      <vt:variant>
        <vt:i4>80</vt:i4>
      </vt:variant>
    </vt:vector>
  </HeadingPairs>
  <TitlesOfParts>
    <vt:vector size="82" baseType="lpstr">
      <vt:lpstr>GRANT AGREEMENT FOR AN ACTION WITH ONE BENEFICIARY</vt:lpstr>
      <vt:lpstr>GRANT AGREEMENT FOR AN ACTION WITH MULTIPLE BENEFICIARIES</vt:lpstr>
      <vt:lpstr>SPECIAL CONDITIONS</vt:lpstr>
      <vt:lpstr>    ARTICLE I.1 – SUBJECT MATTER OF THE AGREEMENT </vt:lpstr>
      <vt:lpstr>    ARTICLE I.2 – ENTRY INTO FORCE AND IMPLEMENTATION PERIOD OF THE AGREEMENT</vt:lpstr>
      <vt:lpstr>        I.4.3	Request[s] for interim payment[s] and supporting documents</vt:lpstr>
      <vt:lpstr>        I.4.4	Request for payment of the balance and supporting documents  </vt:lpstr>
      <vt:lpstr>        I.4.2	Periodic report[s] — Request[s] for second [and][,] third][and][,][fourth]</vt:lpstr>
      <vt:lpstr>        I.4.3	Periodic report[s] — Request[s] for interim payment[s]</vt:lpstr>
      <vt:lpstr>        I.4.4	Final report — Request for payment of the balance</vt:lpstr>
      <vt:lpstr>        I.4.2	Periodic report — Request for second pre-financing payment</vt:lpstr>
      <vt:lpstr>        I.4.3	Periodic report — Request for interim payment  </vt:lpstr>
      <vt:lpstr>        I.4.4	Final report — Request for payment of the balance</vt:lpstr>
      <vt:lpstr>        I.4.5	Information on cumulative expenditure incurred</vt:lpstr>
      <vt:lpstr>        I.4.6	Currency for [Option to be used if the parties do not communicate through </vt:lpstr>
      <vt:lpstr>        I.4.7	Language of [Option to be used if the parties do not communicate through t</vt:lpstr>
      <vt:lpstr>    </vt:lpstr>
      <vt:lpstr>    Article I.5 — Payments and Payment arrangements</vt:lpstr>
      <vt:lpstr>        I.5.1	Payments to be made</vt:lpstr>
      <vt:lpstr>        I.5.2	Pre-financing payment[s]</vt:lpstr>
      <vt:lpstr>        I.5.3	Interim payment[s]</vt:lpstr>
      <vt:lpstr>        I.5.4	Payment of the balance</vt:lpstr>
      <vt:lpstr>        I.5.5	Notification of amounts due</vt:lpstr>
      <vt:lpstr>        I.5.6	Interest on late payment</vt:lpstr>
      <vt:lpstr>        I.5.7	Currency for payments</vt:lpstr>
      <vt:lpstr>        I.5.8	Date of payment</vt:lpstr>
      <vt:lpstr>        I.5.9	Costs of payment transfers</vt:lpstr>
      <vt:lpstr>        I.5.10	Payments to the beneficiary</vt:lpstr>
      <vt:lpstr>    Article I.6 — Bank account for payments</vt:lpstr>
      <vt:lpstr>    Article I.7 — Data controller, communication details of the parties [Option to b</vt:lpstr>
      <vt:lpstr>        I.7.1	Data controller</vt:lpstr>
      <vt:lpstr>        I.7.2	Communication details of the Commission</vt:lpstr>
      <vt:lpstr>        I.7.3	Communication details of the beneficiary</vt:lpstr>
      <vt:lpstr>        I.7.2 Communication details until payment of the balance</vt:lpstr>
      <vt:lpstr>        I.7.3	Communication details of the Commission after payment of the balance</vt:lpstr>
      <vt:lpstr>        I.7.4	Communication details of the beneficiary after payment of the balance</vt:lpstr>
      <vt:lpstr>    [Article I.XX — Entities affiliated to the beneficiarY </vt:lpstr>
      <vt:lpstr>    [Article I.XX — Additional provisions on the reimbursement of costs declared on </vt:lpstr>
      <vt:lpstr>    [Article I.XX — Additional provisions on use of the results (including intellect</vt:lpstr>
      <vt:lpstr>    [Article I.XX — Special provisions on the financial responsibility for recoveri</vt:lpstr>
      <vt:lpstr>    [Article I.XX — Inapplicability of the no-profit principle</vt:lpstr>
      <vt:lpstr>    [Article I.XX — Eligibility of equipment costs</vt:lpstr>
      <vt:lpstr>    [Article I.XX — Ineligibility of value added tax</vt:lpstr>
      <vt:lpstr>    [Article I.XX — Special provisions on budget transfers </vt:lpstr>
      <vt:lpstr>    [Article I.XX — Special provisions on budget transfers involving use oF provisio</vt:lpstr>
      <vt:lpstr>    [Article I.XX — Settlement of disputes with the non-EU beneficiary </vt:lpstr>
      <vt:lpstr>    [Article I.XX — The Beneficiary which is an international organisation </vt:lpstr>
      <vt:lpstr>        I.XX.4	Applicable law</vt:lpstr>
      <vt:lpstr>        I.XX.1	Dispute settlement — Arbitration</vt:lpstr>
      <vt:lpstr>        I.XX.2	[Certificates on the financial statements] [and] [certificates on the com</vt:lpstr>
      <vt:lpstr>        I.XX.3	Checks and audits</vt:lpstr>
      <vt:lpstr>        I.XX.5	Privileges and immunities</vt:lpstr>
      <vt:lpstr>PART A — LEGAL AND ADMINISTRATIVE PROVISIONS</vt:lpstr>
      <vt:lpstr>    Article II.1 — Definitions</vt:lpstr>
      <vt:lpstr>    Article II.2 — General obligations of the beneficiary</vt:lpstr>
      <vt:lpstr>    Article II.3 — Communication between the parties</vt:lpstr>
      <vt:lpstr>        II.3.1	Form and means of communication</vt:lpstr>
      <vt:lpstr>        II.3.2	Date of communications</vt:lpstr>
      <vt:lpstr>        II.3.1 Form and means of communication</vt:lpstr>
      <vt:lpstr>        II.3.2 Date of communication</vt:lpstr>
      <vt:lpstr>    Article II.4 — Liability for damages</vt:lpstr>
      <vt:lpstr>    Article II.5 — Conflict of interests</vt:lpstr>
      <vt:lpstr>    Article II.6 — Confidentiality</vt:lpstr>
      <vt:lpstr>    Article II.7 — Processing of personal data</vt:lpstr>
      <vt:lpstr>        II.7.1	Processing of personal data by the Commission</vt:lpstr>
      <vt:lpstr>        II.7.2	Processing of personal data by the beneficiary</vt:lpstr>
      <vt:lpstr>    Article II.8 — Visibility of Union funding</vt:lpstr>
      <vt:lpstr>        II.8.1	Information on Union funding and use of the European Union emblem</vt:lpstr>
      <vt:lpstr>        II.8.2	Disclaimers excluding Commission responsibility</vt:lpstr>
      <vt:lpstr>    Article II.9 — Pre-existing rights and ownership and use of the results (includi</vt:lpstr>
      <vt:lpstr>        II.9.1	Ownership of the results by the beneficiary</vt:lpstr>
      <vt:lpstr>        II.9.2	Pre-existing rights</vt:lpstr>
      <vt:lpstr>        II.9.3	Rights of use of the results and of pre-existing rights by the Union</vt:lpstr>
      <vt:lpstr>    Article II.10 — Award of contracts necessary for the implementation of the actio</vt:lpstr>
      <vt:lpstr>    Article II.11 — Subcontracting of tasks forming part of the action</vt:lpstr>
      <vt:lpstr>    Article II.12 — Financial support to third parties</vt:lpstr>
      <vt:lpstr>    Article II.13 — Amendments to the agreement</vt:lpstr>
      <vt:lpstr>    Article II.14 — Assignment of claims for payments to third parties</vt:lpstr>
      <vt:lpstr>    Article II.15 — Force majeure</vt:lpstr>
      <vt:lpstr>    Article II.16 — Suspension of the implementation of the action</vt:lpstr>
      <vt:lpstr>        II.16.1	Suspension of implementation by the beneficiary</vt:lpstr>
      <vt:lpstr>        II.16.2	Suspension of implementation by the Commission</vt:lpstr>
    </vt:vector>
  </TitlesOfParts>
  <Company>European Commission</Company>
  <LinksUpToDate>false</LinksUpToDate>
  <CharactersWithSpaces>80575</CharactersWithSpaces>
  <SharedDoc>false</SharedDoc>
  <HLinks>
    <vt:vector size="786" baseType="variant">
      <vt:variant>
        <vt:i4>4587560</vt:i4>
      </vt:variant>
      <vt:variant>
        <vt:i4>768</vt:i4>
      </vt:variant>
      <vt:variant>
        <vt:i4>0</vt:i4>
      </vt:variant>
      <vt:variant>
        <vt:i4>5</vt:i4>
      </vt:variant>
      <vt:variant>
        <vt:lpwstr>http://ec.europa.eu/budget/contracts_grants/info_contracts/inforeuro/inforeuro_en.cfm</vt:lpwstr>
      </vt:variant>
      <vt:variant>
        <vt:lpwstr/>
      </vt:variant>
      <vt:variant>
        <vt:i4>4718617</vt:i4>
      </vt:variant>
      <vt:variant>
        <vt:i4>765</vt:i4>
      </vt:variant>
      <vt:variant>
        <vt:i4>0</vt:i4>
      </vt:variant>
      <vt:variant>
        <vt:i4>5</vt:i4>
      </vt:variant>
      <vt:variant>
        <vt:lpwstr>http://www.ecb.europa.eu/stats/exchange/eurofxref/html/index.en.html</vt:lpwstr>
      </vt:variant>
      <vt:variant>
        <vt:lpwstr/>
      </vt:variant>
      <vt:variant>
        <vt:i4>4587560</vt:i4>
      </vt:variant>
      <vt:variant>
        <vt:i4>762</vt:i4>
      </vt:variant>
      <vt:variant>
        <vt:i4>0</vt:i4>
      </vt:variant>
      <vt:variant>
        <vt:i4>5</vt:i4>
      </vt:variant>
      <vt:variant>
        <vt:lpwstr>http://ec.europa.eu/budget/contracts_grants/info_contracts/inforeuro/inforeuro_en.cfm</vt:lpwstr>
      </vt:variant>
      <vt:variant>
        <vt:lpwstr/>
      </vt:variant>
      <vt:variant>
        <vt:i4>4718617</vt:i4>
      </vt:variant>
      <vt:variant>
        <vt:i4>759</vt:i4>
      </vt:variant>
      <vt:variant>
        <vt:i4>0</vt:i4>
      </vt:variant>
      <vt:variant>
        <vt:i4>5</vt:i4>
      </vt:variant>
      <vt:variant>
        <vt:lpwstr>http://www.ecb.europa.eu/stats/exchange/eurofxref/html/index.en.html</vt:lpwstr>
      </vt:variant>
      <vt:variant>
        <vt:lpwstr/>
      </vt:variant>
      <vt:variant>
        <vt:i4>4587560</vt:i4>
      </vt:variant>
      <vt:variant>
        <vt:i4>756</vt:i4>
      </vt:variant>
      <vt:variant>
        <vt:i4>0</vt:i4>
      </vt:variant>
      <vt:variant>
        <vt:i4>5</vt:i4>
      </vt:variant>
      <vt:variant>
        <vt:lpwstr>http://ec.europa.eu/budget/contracts_grants/info_contracts/inforeuro/inforeuro_en.cfm</vt:lpwstr>
      </vt:variant>
      <vt:variant>
        <vt:lpwstr/>
      </vt:variant>
      <vt:variant>
        <vt:i4>4718617</vt:i4>
      </vt:variant>
      <vt:variant>
        <vt:i4>753</vt:i4>
      </vt:variant>
      <vt:variant>
        <vt:i4>0</vt:i4>
      </vt:variant>
      <vt:variant>
        <vt:i4>5</vt:i4>
      </vt:variant>
      <vt:variant>
        <vt:lpwstr>http://www.ecb.europa.eu/stats/exchange/eurofxref/html/index.en.html</vt:lpwstr>
      </vt:variant>
      <vt:variant>
        <vt:lpwstr/>
      </vt:variant>
      <vt:variant>
        <vt:i4>1048626</vt:i4>
      </vt:variant>
      <vt:variant>
        <vt:i4>746</vt:i4>
      </vt:variant>
      <vt:variant>
        <vt:i4>0</vt:i4>
      </vt:variant>
      <vt:variant>
        <vt:i4>5</vt:i4>
      </vt:variant>
      <vt:variant>
        <vt:lpwstr/>
      </vt:variant>
      <vt:variant>
        <vt:lpwstr>_Toc453326778</vt:lpwstr>
      </vt:variant>
      <vt:variant>
        <vt:i4>1048626</vt:i4>
      </vt:variant>
      <vt:variant>
        <vt:i4>740</vt:i4>
      </vt:variant>
      <vt:variant>
        <vt:i4>0</vt:i4>
      </vt:variant>
      <vt:variant>
        <vt:i4>5</vt:i4>
      </vt:variant>
      <vt:variant>
        <vt:lpwstr/>
      </vt:variant>
      <vt:variant>
        <vt:lpwstr>_Toc453326777</vt:lpwstr>
      </vt:variant>
      <vt:variant>
        <vt:i4>1048626</vt:i4>
      </vt:variant>
      <vt:variant>
        <vt:i4>734</vt:i4>
      </vt:variant>
      <vt:variant>
        <vt:i4>0</vt:i4>
      </vt:variant>
      <vt:variant>
        <vt:i4>5</vt:i4>
      </vt:variant>
      <vt:variant>
        <vt:lpwstr/>
      </vt:variant>
      <vt:variant>
        <vt:lpwstr>_Toc453326776</vt:lpwstr>
      </vt:variant>
      <vt:variant>
        <vt:i4>1048626</vt:i4>
      </vt:variant>
      <vt:variant>
        <vt:i4>728</vt:i4>
      </vt:variant>
      <vt:variant>
        <vt:i4>0</vt:i4>
      </vt:variant>
      <vt:variant>
        <vt:i4>5</vt:i4>
      </vt:variant>
      <vt:variant>
        <vt:lpwstr/>
      </vt:variant>
      <vt:variant>
        <vt:lpwstr>_Toc453326775</vt:lpwstr>
      </vt:variant>
      <vt:variant>
        <vt:i4>1048626</vt:i4>
      </vt:variant>
      <vt:variant>
        <vt:i4>722</vt:i4>
      </vt:variant>
      <vt:variant>
        <vt:i4>0</vt:i4>
      </vt:variant>
      <vt:variant>
        <vt:i4>5</vt:i4>
      </vt:variant>
      <vt:variant>
        <vt:lpwstr/>
      </vt:variant>
      <vt:variant>
        <vt:lpwstr>_Toc453326774</vt:lpwstr>
      </vt:variant>
      <vt:variant>
        <vt:i4>1048626</vt:i4>
      </vt:variant>
      <vt:variant>
        <vt:i4>716</vt:i4>
      </vt:variant>
      <vt:variant>
        <vt:i4>0</vt:i4>
      </vt:variant>
      <vt:variant>
        <vt:i4>5</vt:i4>
      </vt:variant>
      <vt:variant>
        <vt:lpwstr/>
      </vt:variant>
      <vt:variant>
        <vt:lpwstr>_Toc453326773</vt:lpwstr>
      </vt:variant>
      <vt:variant>
        <vt:i4>1048626</vt:i4>
      </vt:variant>
      <vt:variant>
        <vt:i4>710</vt:i4>
      </vt:variant>
      <vt:variant>
        <vt:i4>0</vt:i4>
      </vt:variant>
      <vt:variant>
        <vt:i4>5</vt:i4>
      </vt:variant>
      <vt:variant>
        <vt:lpwstr/>
      </vt:variant>
      <vt:variant>
        <vt:lpwstr>_Toc453326772</vt:lpwstr>
      </vt:variant>
      <vt:variant>
        <vt:i4>1048626</vt:i4>
      </vt:variant>
      <vt:variant>
        <vt:i4>704</vt:i4>
      </vt:variant>
      <vt:variant>
        <vt:i4>0</vt:i4>
      </vt:variant>
      <vt:variant>
        <vt:i4>5</vt:i4>
      </vt:variant>
      <vt:variant>
        <vt:lpwstr/>
      </vt:variant>
      <vt:variant>
        <vt:lpwstr>_Toc453326771</vt:lpwstr>
      </vt:variant>
      <vt:variant>
        <vt:i4>1048626</vt:i4>
      </vt:variant>
      <vt:variant>
        <vt:i4>698</vt:i4>
      </vt:variant>
      <vt:variant>
        <vt:i4>0</vt:i4>
      </vt:variant>
      <vt:variant>
        <vt:i4>5</vt:i4>
      </vt:variant>
      <vt:variant>
        <vt:lpwstr/>
      </vt:variant>
      <vt:variant>
        <vt:lpwstr>_Toc453326770</vt:lpwstr>
      </vt:variant>
      <vt:variant>
        <vt:i4>1114162</vt:i4>
      </vt:variant>
      <vt:variant>
        <vt:i4>692</vt:i4>
      </vt:variant>
      <vt:variant>
        <vt:i4>0</vt:i4>
      </vt:variant>
      <vt:variant>
        <vt:i4>5</vt:i4>
      </vt:variant>
      <vt:variant>
        <vt:lpwstr/>
      </vt:variant>
      <vt:variant>
        <vt:lpwstr>_Toc453326769</vt:lpwstr>
      </vt:variant>
      <vt:variant>
        <vt:i4>1114162</vt:i4>
      </vt:variant>
      <vt:variant>
        <vt:i4>686</vt:i4>
      </vt:variant>
      <vt:variant>
        <vt:i4>0</vt:i4>
      </vt:variant>
      <vt:variant>
        <vt:i4>5</vt:i4>
      </vt:variant>
      <vt:variant>
        <vt:lpwstr/>
      </vt:variant>
      <vt:variant>
        <vt:lpwstr>_Toc453326768</vt:lpwstr>
      </vt:variant>
      <vt:variant>
        <vt:i4>1114162</vt:i4>
      </vt:variant>
      <vt:variant>
        <vt:i4>680</vt:i4>
      </vt:variant>
      <vt:variant>
        <vt:i4>0</vt:i4>
      </vt:variant>
      <vt:variant>
        <vt:i4>5</vt:i4>
      </vt:variant>
      <vt:variant>
        <vt:lpwstr/>
      </vt:variant>
      <vt:variant>
        <vt:lpwstr>_Toc453326767</vt:lpwstr>
      </vt:variant>
      <vt:variant>
        <vt:i4>1114162</vt:i4>
      </vt:variant>
      <vt:variant>
        <vt:i4>674</vt:i4>
      </vt:variant>
      <vt:variant>
        <vt:i4>0</vt:i4>
      </vt:variant>
      <vt:variant>
        <vt:i4>5</vt:i4>
      </vt:variant>
      <vt:variant>
        <vt:lpwstr/>
      </vt:variant>
      <vt:variant>
        <vt:lpwstr>_Toc453326766</vt:lpwstr>
      </vt:variant>
      <vt:variant>
        <vt:i4>1114162</vt:i4>
      </vt:variant>
      <vt:variant>
        <vt:i4>668</vt:i4>
      </vt:variant>
      <vt:variant>
        <vt:i4>0</vt:i4>
      </vt:variant>
      <vt:variant>
        <vt:i4>5</vt:i4>
      </vt:variant>
      <vt:variant>
        <vt:lpwstr/>
      </vt:variant>
      <vt:variant>
        <vt:lpwstr>_Toc453326765</vt:lpwstr>
      </vt:variant>
      <vt:variant>
        <vt:i4>1114162</vt:i4>
      </vt:variant>
      <vt:variant>
        <vt:i4>662</vt:i4>
      </vt:variant>
      <vt:variant>
        <vt:i4>0</vt:i4>
      </vt:variant>
      <vt:variant>
        <vt:i4>5</vt:i4>
      </vt:variant>
      <vt:variant>
        <vt:lpwstr/>
      </vt:variant>
      <vt:variant>
        <vt:lpwstr>_Toc453326764</vt:lpwstr>
      </vt:variant>
      <vt:variant>
        <vt:i4>1114162</vt:i4>
      </vt:variant>
      <vt:variant>
        <vt:i4>656</vt:i4>
      </vt:variant>
      <vt:variant>
        <vt:i4>0</vt:i4>
      </vt:variant>
      <vt:variant>
        <vt:i4>5</vt:i4>
      </vt:variant>
      <vt:variant>
        <vt:lpwstr/>
      </vt:variant>
      <vt:variant>
        <vt:lpwstr>_Toc453326763</vt:lpwstr>
      </vt:variant>
      <vt:variant>
        <vt:i4>1114162</vt:i4>
      </vt:variant>
      <vt:variant>
        <vt:i4>650</vt:i4>
      </vt:variant>
      <vt:variant>
        <vt:i4>0</vt:i4>
      </vt:variant>
      <vt:variant>
        <vt:i4>5</vt:i4>
      </vt:variant>
      <vt:variant>
        <vt:lpwstr/>
      </vt:variant>
      <vt:variant>
        <vt:lpwstr>_Toc453326762</vt:lpwstr>
      </vt:variant>
      <vt:variant>
        <vt:i4>1114162</vt:i4>
      </vt:variant>
      <vt:variant>
        <vt:i4>644</vt:i4>
      </vt:variant>
      <vt:variant>
        <vt:i4>0</vt:i4>
      </vt:variant>
      <vt:variant>
        <vt:i4>5</vt:i4>
      </vt:variant>
      <vt:variant>
        <vt:lpwstr/>
      </vt:variant>
      <vt:variant>
        <vt:lpwstr>_Toc453326761</vt:lpwstr>
      </vt:variant>
      <vt:variant>
        <vt:i4>1114162</vt:i4>
      </vt:variant>
      <vt:variant>
        <vt:i4>638</vt:i4>
      </vt:variant>
      <vt:variant>
        <vt:i4>0</vt:i4>
      </vt:variant>
      <vt:variant>
        <vt:i4>5</vt:i4>
      </vt:variant>
      <vt:variant>
        <vt:lpwstr/>
      </vt:variant>
      <vt:variant>
        <vt:lpwstr>_Toc453326760</vt:lpwstr>
      </vt:variant>
      <vt:variant>
        <vt:i4>1179698</vt:i4>
      </vt:variant>
      <vt:variant>
        <vt:i4>632</vt:i4>
      </vt:variant>
      <vt:variant>
        <vt:i4>0</vt:i4>
      </vt:variant>
      <vt:variant>
        <vt:i4>5</vt:i4>
      </vt:variant>
      <vt:variant>
        <vt:lpwstr/>
      </vt:variant>
      <vt:variant>
        <vt:lpwstr>_Toc453326759</vt:lpwstr>
      </vt:variant>
      <vt:variant>
        <vt:i4>1179698</vt:i4>
      </vt:variant>
      <vt:variant>
        <vt:i4>626</vt:i4>
      </vt:variant>
      <vt:variant>
        <vt:i4>0</vt:i4>
      </vt:variant>
      <vt:variant>
        <vt:i4>5</vt:i4>
      </vt:variant>
      <vt:variant>
        <vt:lpwstr/>
      </vt:variant>
      <vt:variant>
        <vt:lpwstr>_Toc453326758</vt:lpwstr>
      </vt:variant>
      <vt:variant>
        <vt:i4>1179698</vt:i4>
      </vt:variant>
      <vt:variant>
        <vt:i4>620</vt:i4>
      </vt:variant>
      <vt:variant>
        <vt:i4>0</vt:i4>
      </vt:variant>
      <vt:variant>
        <vt:i4>5</vt:i4>
      </vt:variant>
      <vt:variant>
        <vt:lpwstr/>
      </vt:variant>
      <vt:variant>
        <vt:lpwstr>_Toc453326757</vt:lpwstr>
      </vt:variant>
      <vt:variant>
        <vt:i4>1179698</vt:i4>
      </vt:variant>
      <vt:variant>
        <vt:i4>614</vt:i4>
      </vt:variant>
      <vt:variant>
        <vt:i4>0</vt:i4>
      </vt:variant>
      <vt:variant>
        <vt:i4>5</vt:i4>
      </vt:variant>
      <vt:variant>
        <vt:lpwstr/>
      </vt:variant>
      <vt:variant>
        <vt:lpwstr>_Toc453326756</vt:lpwstr>
      </vt:variant>
      <vt:variant>
        <vt:i4>1179698</vt:i4>
      </vt:variant>
      <vt:variant>
        <vt:i4>608</vt:i4>
      </vt:variant>
      <vt:variant>
        <vt:i4>0</vt:i4>
      </vt:variant>
      <vt:variant>
        <vt:i4>5</vt:i4>
      </vt:variant>
      <vt:variant>
        <vt:lpwstr/>
      </vt:variant>
      <vt:variant>
        <vt:lpwstr>_Toc453326755</vt:lpwstr>
      </vt:variant>
      <vt:variant>
        <vt:i4>1179698</vt:i4>
      </vt:variant>
      <vt:variant>
        <vt:i4>602</vt:i4>
      </vt:variant>
      <vt:variant>
        <vt:i4>0</vt:i4>
      </vt:variant>
      <vt:variant>
        <vt:i4>5</vt:i4>
      </vt:variant>
      <vt:variant>
        <vt:lpwstr/>
      </vt:variant>
      <vt:variant>
        <vt:lpwstr>_Toc453326754</vt:lpwstr>
      </vt:variant>
      <vt:variant>
        <vt:i4>1179698</vt:i4>
      </vt:variant>
      <vt:variant>
        <vt:i4>596</vt:i4>
      </vt:variant>
      <vt:variant>
        <vt:i4>0</vt:i4>
      </vt:variant>
      <vt:variant>
        <vt:i4>5</vt:i4>
      </vt:variant>
      <vt:variant>
        <vt:lpwstr/>
      </vt:variant>
      <vt:variant>
        <vt:lpwstr>_Toc453326753</vt:lpwstr>
      </vt:variant>
      <vt:variant>
        <vt:i4>1179698</vt:i4>
      </vt:variant>
      <vt:variant>
        <vt:i4>590</vt:i4>
      </vt:variant>
      <vt:variant>
        <vt:i4>0</vt:i4>
      </vt:variant>
      <vt:variant>
        <vt:i4>5</vt:i4>
      </vt:variant>
      <vt:variant>
        <vt:lpwstr/>
      </vt:variant>
      <vt:variant>
        <vt:lpwstr>_Toc453326752</vt:lpwstr>
      </vt:variant>
      <vt:variant>
        <vt:i4>1179698</vt:i4>
      </vt:variant>
      <vt:variant>
        <vt:i4>584</vt:i4>
      </vt:variant>
      <vt:variant>
        <vt:i4>0</vt:i4>
      </vt:variant>
      <vt:variant>
        <vt:i4>5</vt:i4>
      </vt:variant>
      <vt:variant>
        <vt:lpwstr/>
      </vt:variant>
      <vt:variant>
        <vt:lpwstr>_Toc453326751</vt:lpwstr>
      </vt:variant>
      <vt:variant>
        <vt:i4>1179698</vt:i4>
      </vt:variant>
      <vt:variant>
        <vt:i4>578</vt:i4>
      </vt:variant>
      <vt:variant>
        <vt:i4>0</vt:i4>
      </vt:variant>
      <vt:variant>
        <vt:i4>5</vt:i4>
      </vt:variant>
      <vt:variant>
        <vt:lpwstr/>
      </vt:variant>
      <vt:variant>
        <vt:lpwstr>_Toc453326750</vt:lpwstr>
      </vt:variant>
      <vt:variant>
        <vt:i4>1245234</vt:i4>
      </vt:variant>
      <vt:variant>
        <vt:i4>572</vt:i4>
      </vt:variant>
      <vt:variant>
        <vt:i4>0</vt:i4>
      </vt:variant>
      <vt:variant>
        <vt:i4>5</vt:i4>
      </vt:variant>
      <vt:variant>
        <vt:lpwstr/>
      </vt:variant>
      <vt:variant>
        <vt:lpwstr>_Toc453326749</vt:lpwstr>
      </vt:variant>
      <vt:variant>
        <vt:i4>1245234</vt:i4>
      </vt:variant>
      <vt:variant>
        <vt:i4>566</vt:i4>
      </vt:variant>
      <vt:variant>
        <vt:i4>0</vt:i4>
      </vt:variant>
      <vt:variant>
        <vt:i4>5</vt:i4>
      </vt:variant>
      <vt:variant>
        <vt:lpwstr/>
      </vt:variant>
      <vt:variant>
        <vt:lpwstr>_Toc453326748</vt:lpwstr>
      </vt:variant>
      <vt:variant>
        <vt:i4>1245234</vt:i4>
      </vt:variant>
      <vt:variant>
        <vt:i4>560</vt:i4>
      </vt:variant>
      <vt:variant>
        <vt:i4>0</vt:i4>
      </vt:variant>
      <vt:variant>
        <vt:i4>5</vt:i4>
      </vt:variant>
      <vt:variant>
        <vt:lpwstr/>
      </vt:variant>
      <vt:variant>
        <vt:lpwstr>_Toc453326747</vt:lpwstr>
      </vt:variant>
      <vt:variant>
        <vt:i4>1245234</vt:i4>
      </vt:variant>
      <vt:variant>
        <vt:i4>554</vt:i4>
      </vt:variant>
      <vt:variant>
        <vt:i4>0</vt:i4>
      </vt:variant>
      <vt:variant>
        <vt:i4>5</vt:i4>
      </vt:variant>
      <vt:variant>
        <vt:lpwstr/>
      </vt:variant>
      <vt:variant>
        <vt:lpwstr>_Toc453326746</vt:lpwstr>
      </vt:variant>
      <vt:variant>
        <vt:i4>1245234</vt:i4>
      </vt:variant>
      <vt:variant>
        <vt:i4>548</vt:i4>
      </vt:variant>
      <vt:variant>
        <vt:i4>0</vt:i4>
      </vt:variant>
      <vt:variant>
        <vt:i4>5</vt:i4>
      </vt:variant>
      <vt:variant>
        <vt:lpwstr/>
      </vt:variant>
      <vt:variant>
        <vt:lpwstr>_Toc453326745</vt:lpwstr>
      </vt:variant>
      <vt:variant>
        <vt:i4>1245234</vt:i4>
      </vt:variant>
      <vt:variant>
        <vt:i4>542</vt:i4>
      </vt:variant>
      <vt:variant>
        <vt:i4>0</vt:i4>
      </vt:variant>
      <vt:variant>
        <vt:i4>5</vt:i4>
      </vt:variant>
      <vt:variant>
        <vt:lpwstr/>
      </vt:variant>
      <vt:variant>
        <vt:lpwstr>_Toc453326744</vt:lpwstr>
      </vt:variant>
      <vt:variant>
        <vt:i4>1245234</vt:i4>
      </vt:variant>
      <vt:variant>
        <vt:i4>536</vt:i4>
      </vt:variant>
      <vt:variant>
        <vt:i4>0</vt:i4>
      </vt:variant>
      <vt:variant>
        <vt:i4>5</vt:i4>
      </vt:variant>
      <vt:variant>
        <vt:lpwstr/>
      </vt:variant>
      <vt:variant>
        <vt:lpwstr>_Toc453326743</vt:lpwstr>
      </vt:variant>
      <vt:variant>
        <vt:i4>1245234</vt:i4>
      </vt:variant>
      <vt:variant>
        <vt:i4>530</vt:i4>
      </vt:variant>
      <vt:variant>
        <vt:i4>0</vt:i4>
      </vt:variant>
      <vt:variant>
        <vt:i4>5</vt:i4>
      </vt:variant>
      <vt:variant>
        <vt:lpwstr/>
      </vt:variant>
      <vt:variant>
        <vt:lpwstr>_Toc453326742</vt:lpwstr>
      </vt:variant>
      <vt:variant>
        <vt:i4>1245234</vt:i4>
      </vt:variant>
      <vt:variant>
        <vt:i4>524</vt:i4>
      </vt:variant>
      <vt:variant>
        <vt:i4>0</vt:i4>
      </vt:variant>
      <vt:variant>
        <vt:i4>5</vt:i4>
      </vt:variant>
      <vt:variant>
        <vt:lpwstr/>
      </vt:variant>
      <vt:variant>
        <vt:lpwstr>_Toc453326741</vt:lpwstr>
      </vt:variant>
      <vt:variant>
        <vt:i4>1245234</vt:i4>
      </vt:variant>
      <vt:variant>
        <vt:i4>518</vt:i4>
      </vt:variant>
      <vt:variant>
        <vt:i4>0</vt:i4>
      </vt:variant>
      <vt:variant>
        <vt:i4>5</vt:i4>
      </vt:variant>
      <vt:variant>
        <vt:lpwstr/>
      </vt:variant>
      <vt:variant>
        <vt:lpwstr>_Toc453326740</vt:lpwstr>
      </vt:variant>
      <vt:variant>
        <vt:i4>1310770</vt:i4>
      </vt:variant>
      <vt:variant>
        <vt:i4>512</vt:i4>
      </vt:variant>
      <vt:variant>
        <vt:i4>0</vt:i4>
      </vt:variant>
      <vt:variant>
        <vt:i4>5</vt:i4>
      </vt:variant>
      <vt:variant>
        <vt:lpwstr/>
      </vt:variant>
      <vt:variant>
        <vt:lpwstr>_Toc453326739</vt:lpwstr>
      </vt:variant>
      <vt:variant>
        <vt:i4>1310770</vt:i4>
      </vt:variant>
      <vt:variant>
        <vt:i4>506</vt:i4>
      </vt:variant>
      <vt:variant>
        <vt:i4>0</vt:i4>
      </vt:variant>
      <vt:variant>
        <vt:i4>5</vt:i4>
      </vt:variant>
      <vt:variant>
        <vt:lpwstr/>
      </vt:variant>
      <vt:variant>
        <vt:lpwstr>_Toc453326738</vt:lpwstr>
      </vt:variant>
      <vt:variant>
        <vt:i4>1310770</vt:i4>
      </vt:variant>
      <vt:variant>
        <vt:i4>500</vt:i4>
      </vt:variant>
      <vt:variant>
        <vt:i4>0</vt:i4>
      </vt:variant>
      <vt:variant>
        <vt:i4>5</vt:i4>
      </vt:variant>
      <vt:variant>
        <vt:lpwstr/>
      </vt:variant>
      <vt:variant>
        <vt:lpwstr>_Toc453326737</vt:lpwstr>
      </vt:variant>
      <vt:variant>
        <vt:i4>1310770</vt:i4>
      </vt:variant>
      <vt:variant>
        <vt:i4>494</vt:i4>
      </vt:variant>
      <vt:variant>
        <vt:i4>0</vt:i4>
      </vt:variant>
      <vt:variant>
        <vt:i4>5</vt:i4>
      </vt:variant>
      <vt:variant>
        <vt:lpwstr/>
      </vt:variant>
      <vt:variant>
        <vt:lpwstr>_Toc453326736</vt:lpwstr>
      </vt:variant>
      <vt:variant>
        <vt:i4>1310770</vt:i4>
      </vt:variant>
      <vt:variant>
        <vt:i4>488</vt:i4>
      </vt:variant>
      <vt:variant>
        <vt:i4>0</vt:i4>
      </vt:variant>
      <vt:variant>
        <vt:i4>5</vt:i4>
      </vt:variant>
      <vt:variant>
        <vt:lpwstr/>
      </vt:variant>
      <vt:variant>
        <vt:lpwstr>_Toc453326735</vt:lpwstr>
      </vt:variant>
      <vt:variant>
        <vt:i4>1310770</vt:i4>
      </vt:variant>
      <vt:variant>
        <vt:i4>482</vt:i4>
      </vt:variant>
      <vt:variant>
        <vt:i4>0</vt:i4>
      </vt:variant>
      <vt:variant>
        <vt:i4>5</vt:i4>
      </vt:variant>
      <vt:variant>
        <vt:lpwstr/>
      </vt:variant>
      <vt:variant>
        <vt:lpwstr>_Toc453326734</vt:lpwstr>
      </vt:variant>
      <vt:variant>
        <vt:i4>1310770</vt:i4>
      </vt:variant>
      <vt:variant>
        <vt:i4>476</vt:i4>
      </vt:variant>
      <vt:variant>
        <vt:i4>0</vt:i4>
      </vt:variant>
      <vt:variant>
        <vt:i4>5</vt:i4>
      </vt:variant>
      <vt:variant>
        <vt:lpwstr/>
      </vt:variant>
      <vt:variant>
        <vt:lpwstr>_Toc453326733</vt:lpwstr>
      </vt:variant>
      <vt:variant>
        <vt:i4>1310770</vt:i4>
      </vt:variant>
      <vt:variant>
        <vt:i4>470</vt:i4>
      </vt:variant>
      <vt:variant>
        <vt:i4>0</vt:i4>
      </vt:variant>
      <vt:variant>
        <vt:i4>5</vt:i4>
      </vt:variant>
      <vt:variant>
        <vt:lpwstr/>
      </vt:variant>
      <vt:variant>
        <vt:lpwstr>_Toc453326732</vt:lpwstr>
      </vt:variant>
      <vt:variant>
        <vt:i4>1310770</vt:i4>
      </vt:variant>
      <vt:variant>
        <vt:i4>464</vt:i4>
      </vt:variant>
      <vt:variant>
        <vt:i4>0</vt:i4>
      </vt:variant>
      <vt:variant>
        <vt:i4>5</vt:i4>
      </vt:variant>
      <vt:variant>
        <vt:lpwstr/>
      </vt:variant>
      <vt:variant>
        <vt:lpwstr>_Toc453326731</vt:lpwstr>
      </vt:variant>
      <vt:variant>
        <vt:i4>1310770</vt:i4>
      </vt:variant>
      <vt:variant>
        <vt:i4>458</vt:i4>
      </vt:variant>
      <vt:variant>
        <vt:i4>0</vt:i4>
      </vt:variant>
      <vt:variant>
        <vt:i4>5</vt:i4>
      </vt:variant>
      <vt:variant>
        <vt:lpwstr/>
      </vt:variant>
      <vt:variant>
        <vt:lpwstr>_Toc453326730</vt:lpwstr>
      </vt:variant>
      <vt:variant>
        <vt:i4>1376306</vt:i4>
      </vt:variant>
      <vt:variant>
        <vt:i4>452</vt:i4>
      </vt:variant>
      <vt:variant>
        <vt:i4>0</vt:i4>
      </vt:variant>
      <vt:variant>
        <vt:i4>5</vt:i4>
      </vt:variant>
      <vt:variant>
        <vt:lpwstr/>
      </vt:variant>
      <vt:variant>
        <vt:lpwstr>_Toc453326729</vt:lpwstr>
      </vt:variant>
      <vt:variant>
        <vt:i4>1376306</vt:i4>
      </vt:variant>
      <vt:variant>
        <vt:i4>446</vt:i4>
      </vt:variant>
      <vt:variant>
        <vt:i4>0</vt:i4>
      </vt:variant>
      <vt:variant>
        <vt:i4>5</vt:i4>
      </vt:variant>
      <vt:variant>
        <vt:lpwstr/>
      </vt:variant>
      <vt:variant>
        <vt:lpwstr>_Toc453326728</vt:lpwstr>
      </vt:variant>
      <vt:variant>
        <vt:i4>1376306</vt:i4>
      </vt:variant>
      <vt:variant>
        <vt:i4>440</vt:i4>
      </vt:variant>
      <vt:variant>
        <vt:i4>0</vt:i4>
      </vt:variant>
      <vt:variant>
        <vt:i4>5</vt:i4>
      </vt:variant>
      <vt:variant>
        <vt:lpwstr/>
      </vt:variant>
      <vt:variant>
        <vt:lpwstr>_Toc453326727</vt:lpwstr>
      </vt:variant>
      <vt:variant>
        <vt:i4>1376306</vt:i4>
      </vt:variant>
      <vt:variant>
        <vt:i4>434</vt:i4>
      </vt:variant>
      <vt:variant>
        <vt:i4>0</vt:i4>
      </vt:variant>
      <vt:variant>
        <vt:i4>5</vt:i4>
      </vt:variant>
      <vt:variant>
        <vt:lpwstr/>
      </vt:variant>
      <vt:variant>
        <vt:lpwstr>_Toc453326726</vt:lpwstr>
      </vt:variant>
      <vt:variant>
        <vt:i4>1376306</vt:i4>
      </vt:variant>
      <vt:variant>
        <vt:i4>428</vt:i4>
      </vt:variant>
      <vt:variant>
        <vt:i4>0</vt:i4>
      </vt:variant>
      <vt:variant>
        <vt:i4>5</vt:i4>
      </vt:variant>
      <vt:variant>
        <vt:lpwstr/>
      </vt:variant>
      <vt:variant>
        <vt:lpwstr>_Toc453326725</vt:lpwstr>
      </vt:variant>
      <vt:variant>
        <vt:i4>1376306</vt:i4>
      </vt:variant>
      <vt:variant>
        <vt:i4>422</vt:i4>
      </vt:variant>
      <vt:variant>
        <vt:i4>0</vt:i4>
      </vt:variant>
      <vt:variant>
        <vt:i4>5</vt:i4>
      </vt:variant>
      <vt:variant>
        <vt:lpwstr/>
      </vt:variant>
      <vt:variant>
        <vt:lpwstr>_Toc453326724</vt:lpwstr>
      </vt:variant>
      <vt:variant>
        <vt:i4>1376306</vt:i4>
      </vt:variant>
      <vt:variant>
        <vt:i4>416</vt:i4>
      </vt:variant>
      <vt:variant>
        <vt:i4>0</vt:i4>
      </vt:variant>
      <vt:variant>
        <vt:i4>5</vt:i4>
      </vt:variant>
      <vt:variant>
        <vt:lpwstr/>
      </vt:variant>
      <vt:variant>
        <vt:lpwstr>_Toc453326723</vt:lpwstr>
      </vt:variant>
      <vt:variant>
        <vt:i4>1376306</vt:i4>
      </vt:variant>
      <vt:variant>
        <vt:i4>410</vt:i4>
      </vt:variant>
      <vt:variant>
        <vt:i4>0</vt:i4>
      </vt:variant>
      <vt:variant>
        <vt:i4>5</vt:i4>
      </vt:variant>
      <vt:variant>
        <vt:lpwstr/>
      </vt:variant>
      <vt:variant>
        <vt:lpwstr>_Toc453326722</vt:lpwstr>
      </vt:variant>
      <vt:variant>
        <vt:i4>1376306</vt:i4>
      </vt:variant>
      <vt:variant>
        <vt:i4>404</vt:i4>
      </vt:variant>
      <vt:variant>
        <vt:i4>0</vt:i4>
      </vt:variant>
      <vt:variant>
        <vt:i4>5</vt:i4>
      </vt:variant>
      <vt:variant>
        <vt:lpwstr/>
      </vt:variant>
      <vt:variant>
        <vt:lpwstr>_Toc453326721</vt:lpwstr>
      </vt:variant>
      <vt:variant>
        <vt:i4>1376306</vt:i4>
      </vt:variant>
      <vt:variant>
        <vt:i4>398</vt:i4>
      </vt:variant>
      <vt:variant>
        <vt:i4>0</vt:i4>
      </vt:variant>
      <vt:variant>
        <vt:i4>5</vt:i4>
      </vt:variant>
      <vt:variant>
        <vt:lpwstr/>
      </vt:variant>
      <vt:variant>
        <vt:lpwstr>_Toc453326720</vt:lpwstr>
      </vt:variant>
      <vt:variant>
        <vt:i4>1441842</vt:i4>
      </vt:variant>
      <vt:variant>
        <vt:i4>392</vt:i4>
      </vt:variant>
      <vt:variant>
        <vt:i4>0</vt:i4>
      </vt:variant>
      <vt:variant>
        <vt:i4>5</vt:i4>
      </vt:variant>
      <vt:variant>
        <vt:lpwstr/>
      </vt:variant>
      <vt:variant>
        <vt:lpwstr>_Toc453326719</vt:lpwstr>
      </vt:variant>
      <vt:variant>
        <vt:i4>1441842</vt:i4>
      </vt:variant>
      <vt:variant>
        <vt:i4>386</vt:i4>
      </vt:variant>
      <vt:variant>
        <vt:i4>0</vt:i4>
      </vt:variant>
      <vt:variant>
        <vt:i4>5</vt:i4>
      </vt:variant>
      <vt:variant>
        <vt:lpwstr/>
      </vt:variant>
      <vt:variant>
        <vt:lpwstr>_Toc453326718</vt:lpwstr>
      </vt:variant>
      <vt:variant>
        <vt:i4>1441842</vt:i4>
      </vt:variant>
      <vt:variant>
        <vt:i4>380</vt:i4>
      </vt:variant>
      <vt:variant>
        <vt:i4>0</vt:i4>
      </vt:variant>
      <vt:variant>
        <vt:i4>5</vt:i4>
      </vt:variant>
      <vt:variant>
        <vt:lpwstr/>
      </vt:variant>
      <vt:variant>
        <vt:lpwstr>_Toc453326717</vt:lpwstr>
      </vt:variant>
      <vt:variant>
        <vt:i4>1441842</vt:i4>
      </vt:variant>
      <vt:variant>
        <vt:i4>374</vt:i4>
      </vt:variant>
      <vt:variant>
        <vt:i4>0</vt:i4>
      </vt:variant>
      <vt:variant>
        <vt:i4>5</vt:i4>
      </vt:variant>
      <vt:variant>
        <vt:lpwstr/>
      </vt:variant>
      <vt:variant>
        <vt:lpwstr>_Toc453326716</vt:lpwstr>
      </vt:variant>
      <vt:variant>
        <vt:i4>1441842</vt:i4>
      </vt:variant>
      <vt:variant>
        <vt:i4>368</vt:i4>
      </vt:variant>
      <vt:variant>
        <vt:i4>0</vt:i4>
      </vt:variant>
      <vt:variant>
        <vt:i4>5</vt:i4>
      </vt:variant>
      <vt:variant>
        <vt:lpwstr/>
      </vt:variant>
      <vt:variant>
        <vt:lpwstr>_Toc453326715</vt:lpwstr>
      </vt:variant>
      <vt:variant>
        <vt:i4>1441842</vt:i4>
      </vt:variant>
      <vt:variant>
        <vt:i4>362</vt:i4>
      </vt:variant>
      <vt:variant>
        <vt:i4>0</vt:i4>
      </vt:variant>
      <vt:variant>
        <vt:i4>5</vt:i4>
      </vt:variant>
      <vt:variant>
        <vt:lpwstr/>
      </vt:variant>
      <vt:variant>
        <vt:lpwstr>_Toc453326714</vt:lpwstr>
      </vt:variant>
      <vt:variant>
        <vt:i4>1441842</vt:i4>
      </vt:variant>
      <vt:variant>
        <vt:i4>356</vt:i4>
      </vt:variant>
      <vt:variant>
        <vt:i4>0</vt:i4>
      </vt:variant>
      <vt:variant>
        <vt:i4>5</vt:i4>
      </vt:variant>
      <vt:variant>
        <vt:lpwstr/>
      </vt:variant>
      <vt:variant>
        <vt:lpwstr>_Toc453326713</vt:lpwstr>
      </vt:variant>
      <vt:variant>
        <vt:i4>1441842</vt:i4>
      </vt:variant>
      <vt:variant>
        <vt:i4>350</vt:i4>
      </vt:variant>
      <vt:variant>
        <vt:i4>0</vt:i4>
      </vt:variant>
      <vt:variant>
        <vt:i4>5</vt:i4>
      </vt:variant>
      <vt:variant>
        <vt:lpwstr/>
      </vt:variant>
      <vt:variant>
        <vt:lpwstr>_Toc453326712</vt:lpwstr>
      </vt:variant>
      <vt:variant>
        <vt:i4>1441842</vt:i4>
      </vt:variant>
      <vt:variant>
        <vt:i4>344</vt:i4>
      </vt:variant>
      <vt:variant>
        <vt:i4>0</vt:i4>
      </vt:variant>
      <vt:variant>
        <vt:i4>5</vt:i4>
      </vt:variant>
      <vt:variant>
        <vt:lpwstr/>
      </vt:variant>
      <vt:variant>
        <vt:lpwstr>_Toc453326711</vt:lpwstr>
      </vt:variant>
      <vt:variant>
        <vt:i4>1441842</vt:i4>
      </vt:variant>
      <vt:variant>
        <vt:i4>338</vt:i4>
      </vt:variant>
      <vt:variant>
        <vt:i4>0</vt:i4>
      </vt:variant>
      <vt:variant>
        <vt:i4>5</vt:i4>
      </vt:variant>
      <vt:variant>
        <vt:lpwstr/>
      </vt:variant>
      <vt:variant>
        <vt:lpwstr>_Toc453326710</vt:lpwstr>
      </vt:variant>
      <vt:variant>
        <vt:i4>1507378</vt:i4>
      </vt:variant>
      <vt:variant>
        <vt:i4>332</vt:i4>
      </vt:variant>
      <vt:variant>
        <vt:i4>0</vt:i4>
      </vt:variant>
      <vt:variant>
        <vt:i4>5</vt:i4>
      </vt:variant>
      <vt:variant>
        <vt:lpwstr/>
      </vt:variant>
      <vt:variant>
        <vt:lpwstr>_Toc453326709</vt:lpwstr>
      </vt:variant>
      <vt:variant>
        <vt:i4>1507378</vt:i4>
      </vt:variant>
      <vt:variant>
        <vt:i4>326</vt:i4>
      </vt:variant>
      <vt:variant>
        <vt:i4>0</vt:i4>
      </vt:variant>
      <vt:variant>
        <vt:i4>5</vt:i4>
      </vt:variant>
      <vt:variant>
        <vt:lpwstr/>
      </vt:variant>
      <vt:variant>
        <vt:lpwstr>_Toc453326708</vt:lpwstr>
      </vt:variant>
      <vt:variant>
        <vt:i4>1507378</vt:i4>
      </vt:variant>
      <vt:variant>
        <vt:i4>320</vt:i4>
      </vt:variant>
      <vt:variant>
        <vt:i4>0</vt:i4>
      </vt:variant>
      <vt:variant>
        <vt:i4>5</vt:i4>
      </vt:variant>
      <vt:variant>
        <vt:lpwstr/>
      </vt:variant>
      <vt:variant>
        <vt:lpwstr>_Toc453326707</vt:lpwstr>
      </vt:variant>
      <vt:variant>
        <vt:i4>1507378</vt:i4>
      </vt:variant>
      <vt:variant>
        <vt:i4>314</vt:i4>
      </vt:variant>
      <vt:variant>
        <vt:i4>0</vt:i4>
      </vt:variant>
      <vt:variant>
        <vt:i4>5</vt:i4>
      </vt:variant>
      <vt:variant>
        <vt:lpwstr/>
      </vt:variant>
      <vt:variant>
        <vt:lpwstr>_Toc453326706</vt:lpwstr>
      </vt:variant>
      <vt:variant>
        <vt:i4>1507378</vt:i4>
      </vt:variant>
      <vt:variant>
        <vt:i4>308</vt:i4>
      </vt:variant>
      <vt:variant>
        <vt:i4>0</vt:i4>
      </vt:variant>
      <vt:variant>
        <vt:i4>5</vt:i4>
      </vt:variant>
      <vt:variant>
        <vt:lpwstr/>
      </vt:variant>
      <vt:variant>
        <vt:lpwstr>_Toc453326705</vt:lpwstr>
      </vt:variant>
      <vt:variant>
        <vt:i4>1507378</vt:i4>
      </vt:variant>
      <vt:variant>
        <vt:i4>302</vt:i4>
      </vt:variant>
      <vt:variant>
        <vt:i4>0</vt:i4>
      </vt:variant>
      <vt:variant>
        <vt:i4>5</vt:i4>
      </vt:variant>
      <vt:variant>
        <vt:lpwstr/>
      </vt:variant>
      <vt:variant>
        <vt:lpwstr>_Toc453326704</vt:lpwstr>
      </vt:variant>
      <vt:variant>
        <vt:i4>1507378</vt:i4>
      </vt:variant>
      <vt:variant>
        <vt:i4>296</vt:i4>
      </vt:variant>
      <vt:variant>
        <vt:i4>0</vt:i4>
      </vt:variant>
      <vt:variant>
        <vt:i4>5</vt:i4>
      </vt:variant>
      <vt:variant>
        <vt:lpwstr/>
      </vt:variant>
      <vt:variant>
        <vt:lpwstr>_Toc453326703</vt:lpwstr>
      </vt:variant>
      <vt:variant>
        <vt:i4>1507378</vt:i4>
      </vt:variant>
      <vt:variant>
        <vt:i4>290</vt:i4>
      </vt:variant>
      <vt:variant>
        <vt:i4>0</vt:i4>
      </vt:variant>
      <vt:variant>
        <vt:i4>5</vt:i4>
      </vt:variant>
      <vt:variant>
        <vt:lpwstr/>
      </vt:variant>
      <vt:variant>
        <vt:lpwstr>_Toc453326702</vt:lpwstr>
      </vt:variant>
      <vt:variant>
        <vt:i4>1507378</vt:i4>
      </vt:variant>
      <vt:variant>
        <vt:i4>284</vt:i4>
      </vt:variant>
      <vt:variant>
        <vt:i4>0</vt:i4>
      </vt:variant>
      <vt:variant>
        <vt:i4>5</vt:i4>
      </vt:variant>
      <vt:variant>
        <vt:lpwstr/>
      </vt:variant>
      <vt:variant>
        <vt:lpwstr>_Toc453326701</vt:lpwstr>
      </vt:variant>
      <vt:variant>
        <vt:i4>1507378</vt:i4>
      </vt:variant>
      <vt:variant>
        <vt:i4>278</vt:i4>
      </vt:variant>
      <vt:variant>
        <vt:i4>0</vt:i4>
      </vt:variant>
      <vt:variant>
        <vt:i4>5</vt:i4>
      </vt:variant>
      <vt:variant>
        <vt:lpwstr/>
      </vt:variant>
      <vt:variant>
        <vt:lpwstr>_Toc453326700</vt:lpwstr>
      </vt:variant>
      <vt:variant>
        <vt:i4>1966131</vt:i4>
      </vt:variant>
      <vt:variant>
        <vt:i4>272</vt:i4>
      </vt:variant>
      <vt:variant>
        <vt:i4>0</vt:i4>
      </vt:variant>
      <vt:variant>
        <vt:i4>5</vt:i4>
      </vt:variant>
      <vt:variant>
        <vt:lpwstr/>
      </vt:variant>
      <vt:variant>
        <vt:lpwstr>_Toc453326699</vt:lpwstr>
      </vt:variant>
      <vt:variant>
        <vt:i4>1966131</vt:i4>
      </vt:variant>
      <vt:variant>
        <vt:i4>266</vt:i4>
      </vt:variant>
      <vt:variant>
        <vt:i4>0</vt:i4>
      </vt:variant>
      <vt:variant>
        <vt:i4>5</vt:i4>
      </vt:variant>
      <vt:variant>
        <vt:lpwstr/>
      </vt:variant>
      <vt:variant>
        <vt:lpwstr>_Toc453326698</vt:lpwstr>
      </vt:variant>
      <vt:variant>
        <vt:i4>1966131</vt:i4>
      </vt:variant>
      <vt:variant>
        <vt:i4>260</vt:i4>
      </vt:variant>
      <vt:variant>
        <vt:i4>0</vt:i4>
      </vt:variant>
      <vt:variant>
        <vt:i4>5</vt:i4>
      </vt:variant>
      <vt:variant>
        <vt:lpwstr/>
      </vt:variant>
      <vt:variant>
        <vt:lpwstr>_Toc453326697</vt:lpwstr>
      </vt:variant>
      <vt:variant>
        <vt:i4>1966131</vt:i4>
      </vt:variant>
      <vt:variant>
        <vt:i4>254</vt:i4>
      </vt:variant>
      <vt:variant>
        <vt:i4>0</vt:i4>
      </vt:variant>
      <vt:variant>
        <vt:i4>5</vt:i4>
      </vt:variant>
      <vt:variant>
        <vt:lpwstr/>
      </vt:variant>
      <vt:variant>
        <vt:lpwstr>_Toc453326696</vt:lpwstr>
      </vt:variant>
      <vt:variant>
        <vt:i4>1966131</vt:i4>
      </vt:variant>
      <vt:variant>
        <vt:i4>248</vt:i4>
      </vt:variant>
      <vt:variant>
        <vt:i4>0</vt:i4>
      </vt:variant>
      <vt:variant>
        <vt:i4>5</vt:i4>
      </vt:variant>
      <vt:variant>
        <vt:lpwstr/>
      </vt:variant>
      <vt:variant>
        <vt:lpwstr>_Toc453326695</vt:lpwstr>
      </vt:variant>
      <vt:variant>
        <vt:i4>1966131</vt:i4>
      </vt:variant>
      <vt:variant>
        <vt:i4>242</vt:i4>
      </vt:variant>
      <vt:variant>
        <vt:i4>0</vt:i4>
      </vt:variant>
      <vt:variant>
        <vt:i4>5</vt:i4>
      </vt:variant>
      <vt:variant>
        <vt:lpwstr/>
      </vt:variant>
      <vt:variant>
        <vt:lpwstr>_Toc453326694</vt:lpwstr>
      </vt:variant>
      <vt:variant>
        <vt:i4>1966131</vt:i4>
      </vt:variant>
      <vt:variant>
        <vt:i4>236</vt:i4>
      </vt:variant>
      <vt:variant>
        <vt:i4>0</vt:i4>
      </vt:variant>
      <vt:variant>
        <vt:i4>5</vt:i4>
      </vt:variant>
      <vt:variant>
        <vt:lpwstr/>
      </vt:variant>
      <vt:variant>
        <vt:lpwstr>_Toc453326693</vt:lpwstr>
      </vt:variant>
      <vt:variant>
        <vt:i4>1966131</vt:i4>
      </vt:variant>
      <vt:variant>
        <vt:i4>230</vt:i4>
      </vt:variant>
      <vt:variant>
        <vt:i4>0</vt:i4>
      </vt:variant>
      <vt:variant>
        <vt:i4>5</vt:i4>
      </vt:variant>
      <vt:variant>
        <vt:lpwstr/>
      </vt:variant>
      <vt:variant>
        <vt:lpwstr>_Toc453326692</vt:lpwstr>
      </vt:variant>
      <vt:variant>
        <vt:i4>1966131</vt:i4>
      </vt:variant>
      <vt:variant>
        <vt:i4>224</vt:i4>
      </vt:variant>
      <vt:variant>
        <vt:i4>0</vt:i4>
      </vt:variant>
      <vt:variant>
        <vt:i4>5</vt:i4>
      </vt:variant>
      <vt:variant>
        <vt:lpwstr/>
      </vt:variant>
      <vt:variant>
        <vt:lpwstr>_Toc453326691</vt:lpwstr>
      </vt:variant>
      <vt:variant>
        <vt:i4>1966131</vt:i4>
      </vt:variant>
      <vt:variant>
        <vt:i4>218</vt:i4>
      </vt:variant>
      <vt:variant>
        <vt:i4>0</vt:i4>
      </vt:variant>
      <vt:variant>
        <vt:i4>5</vt:i4>
      </vt:variant>
      <vt:variant>
        <vt:lpwstr/>
      </vt:variant>
      <vt:variant>
        <vt:lpwstr>_Toc453326690</vt:lpwstr>
      </vt:variant>
      <vt:variant>
        <vt:i4>2031667</vt:i4>
      </vt:variant>
      <vt:variant>
        <vt:i4>212</vt:i4>
      </vt:variant>
      <vt:variant>
        <vt:i4>0</vt:i4>
      </vt:variant>
      <vt:variant>
        <vt:i4>5</vt:i4>
      </vt:variant>
      <vt:variant>
        <vt:lpwstr/>
      </vt:variant>
      <vt:variant>
        <vt:lpwstr>_Toc453326689</vt:lpwstr>
      </vt:variant>
      <vt:variant>
        <vt:i4>2031667</vt:i4>
      </vt:variant>
      <vt:variant>
        <vt:i4>206</vt:i4>
      </vt:variant>
      <vt:variant>
        <vt:i4>0</vt:i4>
      </vt:variant>
      <vt:variant>
        <vt:i4>5</vt:i4>
      </vt:variant>
      <vt:variant>
        <vt:lpwstr/>
      </vt:variant>
      <vt:variant>
        <vt:lpwstr>_Toc453326688</vt:lpwstr>
      </vt:variant>
      <vt:variant>
        <vt:i4>2031667</vt:i4>
      </vt:variant>
      <vt:variant>
        <vt:i4>200</vt:i4>
      </vt:variant>
      <vt:variant>
        <vt:i4>0</vt:i4>
      </vt:variant>
      <vt:variant>
        <vt:i4>5</vt:i4>
      </vt:variant>
      <vt:variant>
        <vt:lpwstr/>
      </vt:variant>
      <vt:variant>
        <vt:lpwstr>_Toc453326687</vt:lpwstr>
      </vt:variant>
      <vt:variant>
        <vt:i4>2031667</vt:i4>
      </vt:variant>
      <vt:variant>
        <vt:i4>194</vt:i4>
      </vt:variant>
      <vt:variant>
        <vt:i4>0</vt:i4>
      </vt:variant>
      <vt:variant>
        <vt:i4>5</vt:i4>
      </vt:variant>
      <vt:variant>
        <vt:lpwstr/>
      </vt:variant>
      <vt:variant>
        <vt:lpwstr>_Toc453326686</vt:lpwstr>
      </vt:variant>
      <vt:variant>
        <vt:i4>2031667</vt:i4>
      </vt:variant>
      <vt:variant>
        <vt:i4>188</vt:i4>
      </vt:variant>
      <vt:variant>
        <vt:i4>0</vt:i4>
      </vt:variant>
      <vt:variant>
        <vt:i4>5</vt:i4>
      </vt:variant>
      <vt:variant>
        <vt:lpwstr/>
      </vt:variant>
      <vt:variant>
        <vt:lpwstr>_Toc453326685</vt:lpwstr>
      </vt:variant>
      <vt:variant>
        <vt:i4>2031667</vt:i4>
      </vt:variant>
      <vt:variant>
        <vt:i4>182</vt:i4>
      </vt:variant>
      <vt:variant>
        <vt:i4>0</vt:i4>
      </vt:variant>
      <vt:variant>
        <vt:i4>5</vt:i4>
      </vt:variant>
      <vt:variant>
        <vt:lpwstr/>
      </vt:variant>
      <vt:variant>
        <vt:lpwstr>_Toc453326684</vt:lpwstr>
      </vt:variant>
      <vt:variant>
        <vt:i4>2031667</vt:i4>
      </vt:variant>
      <vt:variant>
        <vt:i4>176</vt:i4>
      </vt:variant>
      <vt:variant>
        <vt:i4>0</vt:i4>
      </vt:variant>
      <vt:variant>
        <vt:i4>5</vt:i4>
      </vt:variant>
      <vt:variant>
        <vt:lpwstr/>
      </vt:variant>
      <vt:variant>
        <vt:lpwstr>_Toc453326683</vt:lpwstr>
      </vt:variant>
      <vt:variant>
        <vt:i4>2031667</vt:i4>
      </vt:variant>
      <vt:variant>
        <vt:i4>170</vt:i4>
      </vt:variant>
      <vt:variant>
        <vt:i4>0</vt:i4>
      </vt:variant>
      <vt:variant>
        <vt:i4>5</vt:i4>
      </vt:variant>
      <vt:variant>
        <vt:lpwstr/>
      </vt:variant>
      <vt:variant>
        <vt:lpwstr>_Toc453326682</vt:lpwstr>
      </vt:variant>
      <vt:variant>
        <vt:i4>2031667</vt:i4>
      </vt:variant>
      <vt:variant>
        <vt:i4>164</vt:i4>
      </vt:variant>
      <vt:variant>
        <vt:i4>0</vt:i4>
      </vt:variant>
      <vt:variant>
        <vt:i4>5</vt:i4>
      </vt:variant>
      <vt:variant>
        <vt:lpwstr/>
      </vt:variant>
      <vt:variant>
        <vt:lpwstr>_Toc453326681</vt:lpwstr>
      </vt:variant>
      <vt:variant>
        <vt:i4>2031667</vt:i4>
      </vt:variant>
      <vt:variant>
        <vt:i4>158</vt:i4>
      </vt:variant>
      <vt:variant>
        <vt:i4>0</vt:i4>
      </vt:variant>
      <vt:variant>
        <vt:i4>5</vt:i4>
      </vt:variant>
      <vt:variant>
        <vt:lpwstr/>
      </vt:variant>
      <vt:variant>
        <vt:lpwstr>_Toc453326680</vt:lpwstr>
      </vt:variant>
      <vt:variant>
        <vt:i4>1048627</vt:i4>
      </vt:variant>
      <vt:variant>
        <vt:i4>152</vt:i4>
      </vt:variant>
      <vt:variant>
        <vt:i4>0</vt:i4>
      </vt:variant>
      <vt:variant>
        <vt:i4>5</vt:i4>
      </vt:variant>
      <vt:variant>
        <vt:lpwstr/>
      </vt:variant>
      <vt:variant>
        <vt:lpwstr>_Toc453326679</vt:lpwstr>
      </vt:variant>
      <vt:variant>
        <vt:i4>1048627</vt:i4>
      </vt:variant>
      <vt:variant>
        <vt:i4>146</vt:i4>
      </vt:variant>
      <vt:variant>
        <vt:i4>0</vt:i4>
      </vt:variant>
      <vt:variant>
        <vt:i4>5</vt:i4>
      </vt:variant>
      <vt:variant>
        <vt:lpwstr/>
      </vt:variant>
      <vt:variant>
        <vt:lpwstr>_Toc453326678</vt:lpwstr>
      </vt:variant>
      <vt:variant>
        <vt:i4>1048627</vt:i4>
      </vt:variant>
      <vt:variant>
        <vt:i4>140</vt:i4>
      </vt:variant>
      <vt:variant>
        <vt:i4>0</vt:i4>
      </vt:variant>
      <vt:variant>
        <vt:i4>5</vt:i4>
      </vt:variant>
      <vt:variant>
        <vt:lpwstr/>
      </vt:variant>
      <vt:variant>
        <vt:lpwstr>_Toc453326677</vt:lpwstr>
      </vt:variant>
      <vt:variant>
        <vt:i4>1048627</vt:i4>
      </vt:variant>
      <vt:variant>
        <vt:i4>134</vt:i4>
      </vt:variant>
      <vt:variant>
        <vt:i4>0</vt:i4>
      </vt:variant>
      <vt:variant>
        <vt:i4>5</vt:i4>
      </vt:variant>
      <vt:variant>
        <vt:lpwstr/>
      </vt:variant>
      <vt:variant>
        <vt:lpwstr>_Toc453326676</vt:lpwstr>
      </vt:variant>
      <vt:variant>
        <vt:i4>1048627</vt:i4>
      </vt:variant>
      <vt:variant>
        <vt:i4>128</vt:i4>
      </vt:variant>
      <vt:variant>
        <vt:i4>0</vt:i4>
      </vt:variant>
      <vt:variant>
        <vt:i4>5</vt:i4>
      </vt:variant>
      <vt:variant>
        <vt:lpwstr/>
      </vt:variant>
      <vt:variant>
        <vt:lpwstr>_Toc453326675</vt:lpwstr>
      </vt:variant>
      <vt:variant>
        <vt:i4>1048627</vt:i4>
      </vt:variant>
      <vt:variant>
        <vt:i4>122</vt:i4>
      </vt:variant>
      <vt:variant>
        <vt:i4>0</vt:i4>
      </vt:variant>
      <vt:variant>
        <vt:i4>5</vt:i4>
      </vt:variant>
      <vt:variant>
        <vt:lpwstr/>
      </vt:variant>
      <vt:variant>
        <vt:lpwstr>_Toc453326674</vt:lpwstr>
      </vt:variant>
      <vt:variant>
        <vt:i4>1048627</vt:i4>
      </vt:variant>
      <vt:variant>
        <vt:i4>116</vt:i4>
      </vt:variant>
      <vt:variant>
        <vt:i4>0</vt:i4>
      </vt:variant>
      <vt:variant>
        <vt:i4>5</vt:i4>
      </vt:variant>
      <vt:variant>
        <vt:lpwstr/>
      </vt:variant>
      <vt:variant>
        <vt:lpwstr>_Toc453326673</vt:lpwstr>
      </vt:variant>
      <vt:variant>
        <vt:i4>1048627</vt:i4>
      </vt:variant>
      <vt:variant>
        <vt:i4>110</vt:i4>
      </vt:variant>
      <vt:variant>
        <vt:i4>0</vt:i4>
      </vt:variant>
      <vt:variant>
        <vt:i4>5</vt:i4>
      </vt:variant>
      <vt:variant>
        <vt:lpwstr/>
      </vt:variant>
      <vt:variant>
        <vt:lpwstr>_Toc453326672</vt:lpwstr>
      </vt:variant>
      <vt:variant>
        <vt:i4>1048627</vt:i4>
      </vt:variant>
      <vt:variant>
        <vt:i4>104</vt:i4>
      </vt:variant>
      <vt:variant>
        <vt:i4>0</vt:i4>
      </vt:variant>
      <vt:variant>
        <vt:i4>5</vt:i4>
      </vt:variant>
      <vt:variant>
        <vt:lpwstr/>
      </vt:variant>
      <vt:variant>
        <vt:lpwstr>_Toc453326671</vt:lpwstr>
      </vt:variant>
      <vt:variant>
        <vt:i4>1048627</vt:i4>
      </vt:variant>
      <vt:variant>
        <vt:i4>98</vt:i4>
      </vt:variant>
      <vt:variant>
        <vt:i4>0</vt:i4>
      </vt:variant>
      <vt:variant>
        <vt:i4>5</vt:i4>
      </vt:variant>
      <vt:variant>
        <vt:lpwstr/>
      </vt:variant>
      <vt:variant>
        <vt:lpwstr>_Toc453326670</vt:lpwstr>
      </vt:variant>
      <vt:variant>
        <vt:i4>1114163</vt:i4>
      </vt:variant>
      <vt:variant>
        <vt:i4>92</vt:i4>
      </vt:variant>
      <vt:variant>
        <vt:i4>0</vt:i4>
      </vt:variant>
      <vt:variant>
        <vt:i4>5</vt:i4>
      </vt:variant>
      <vt:variant>
        <vt:lpwstr/>
      </vt:variant>
      <vt:variant>
        <vt:lpwstr>_Toc453326669</vt:lpwstr>
      </vt:variant>
      <vt:variant>
        <vt:i4>1114163</vt:i4>
      </vt:variant>
      <vt:variant>
        <vt:i4>86</vt:i4>
      </vt:variant>
      <vt:variant>
        <vt:i4>0</vt:i4>
      </vt:variant>
      <vt:variant>
        <vt:i4>5</vt:i4>
      </vt:variant>
      <vt:variant>
        <vt:lpwstr/>
      </vt:variant>
      <vt:variant>
        <vt:lpwstr>_Toc453326668</vt:lpwstr>
      </vt:variant>
      <vt:variant>
        <vt:i4>1114163</vt:i4>
      </vt:variant>
      <vt:variant>
        <vt:i4>80</vt:i4>
      </vt:variant>
      <vt:variant>
        <vt:i4>0</vt:i4>
      </vt:variant>
      <vt:variant>
        <vt:i4>5</vt:i4>
      </vt:variant>
      <vt:variant>
        <vt:lpwstr/>
      </vt:variant>
      <vt:variant>
        <vt:lpwstr>_Toc453326667</vt:lpwstr>
      </vt:variant>
      <vt:variant>
        <vt:i4>1114163</vt:i4>
      </vt:variant>
      <vt:variant>
        <vt:i4>74</vt:i4>
      </vt:variant>
      <vt:variant>
        <vt:i4>0</vt:i4>
      </vt:variant>
      <vt:variant>
        <vt:i4>5</vt:i4>
      </vt:variant>
      <vt:variant>
        <vt:lpwstr/>
      </vt:variant>
      <vt:variant>
        <vt:lpwstr>_Toc453326666</vt:lpwstr>
      </vt:variant>
      <vt:variant>
        <vt:i4>1114163</vt:i4>
      </vt:variant>
      <vt:variant>
        <vt:i4>68</vt:i4>
      </vt:variant>
      <vt:variant>
        <vt:i4>0</vt:i4>
      </vt:variant>
      <vt:variant>
        <vt:i4>5</vt:i4>
      </vt:variant>
      <vt:variant>
        <vt:lpwstr/>
      </vt:variant>
      <vt:variant>
        <vt:lpwstr>_Toc453326665</vt:lpwstr>
      </vt:variant>
      <vt:variant>
        <vt:i4>1114163</vt:i4>
      </vt:variant>
      <vt:variant>
        <vt:i4>62</vt:i4>
      </vt:variant>
      <vt:variant>
        <vt:i4>0</vt:i4>
      </vt:variant>
      <vt:variant>
        <vt:i4>5</vt:i4>
      </vt:variant>
      <vt:variant>
        <vt:lpwstr/>
      </vt:variant>
      <vt:variant>
        <vt:lpwstr>_Toc453326664</vt:lpwstr>
      </vt:variant>
      <vt:variant>
        <vt:i4>1114163</vt:i4>
      </vt:variant>
      <vt:variant>
        <vt:i4>56</vt:i4>
      </vt:variant>
      <vt:variant>
        <vt:i4>0</vt:i4>
      </vt:variant>
      <vt:variant>
        <vt:i4>5</vt:i4>
      </vt:variant>
      <vt:variant>
        <vt:lpwstr/>
      </vt:variant>
      <vt:variant>
        <vt:lpwstr>_Toc453326663</vt:lpwstr>
      </vt:variant>
      <vt:variant>
        <vt:i4>1114163</vt:i4>
      </vt:variant>
      <vt:variant>
        <vt:i4>50</vt:i4>
      </vt:variant>
      <vt:variant>
        <vt:i4>0</vt:i4>
      </vt:variant>
      <vt:variant>
        <vt:i4>5</vt:i4>
      </vt:variant>
      <vt:variant>
        <vt:lpwstr/>
      </vt:variant>
      <vt:variant>
        <vt:lpwstr>_Toc453326662</vt:lpwstr>
      </vt:variant>
      <vt:variant>
        <vt:i4>1114163</vt:i4>
      </vt:variant>
      <vt:variant>
        <vt:i4>44</vt:i4>
      </vt:variant>
      <vt:variant>
        <vt:i4>0</vt:i4>
      </vt:variant>
      <vt:variant>
        <vt:i4>5</vt:i4>
      </vt:variant>
      <vt:variant>
        <vt:lpwstr/>
      </vt:variant>
      <vt:variant>
        <vt:lpwstr>_Toc453326661</vt:lpwstr>
      </vt:variant>
      <vt:variant>
        <vt:i4>1114163</vt:i4>
      </vt:variant>
      <vt:variant>
        <vt:i4>38</vt:i4>
      </vt:variant>
      <vt:variant>
        <vt:i4>0</vt:i4>
      </vt:variant>
      <vt:variant>
        <vt:i4>5</vt:i4>
      </vt:variant>
      <vt:variant>
        <vt:lpwstr/>
      </vt:variant>
      <vt:variant>
        <vt:lpwstr>_Toc453326660</vt:lpwstr>
      </vt:variant>
      <vt:variant>
        <vt:i4>1179699</vt:i4>
      </vt:variant>
      <vt:variant>
        <vt:i4>32</vt:i4>
      </vt:variant>
      <vt:variant>
        <vt:i4>0</vt:i4>
      </vt:variant>
      <vt:variant>
        <vt:i4>5</vt:i4>
      </vt:variant>
      <vt:variant>
        <vt:lpwstr/>
      </vt:variant>
      <vt:variant>
        <vt:lpwstr>_Toc453326659</vt:lpwstr>
      </vt:variant>
      <vt:variant>
        <vt:i4>1179699</vt:i4>
      </vt:variant>
      <vt:variant>
        <vt:i4>26</vt:i4>
      </vt:variant>
      <vt:variant>
        <vt:i4>0</vt:i4>
      </vt:variant>
      <vt:variant>
        <vt:i4>5</vt:i4>
      </vt:variant>
      <vt:variant>
        <vt:lpwstr/>
      </vt:variant>
      <vt:variant>
        <vt:lpwstr>_Toc453326658</vt:lpwstr>
      </vt:variant>
      <vt:variant>
        <vt:i4>1179699</vt:i4>
      </vt:variant>
      <vt:variant>
        <vt:i4>20</vt:i4>
      </vt:variant>
      <vt:variant>
        <vt:i4>0</vt:i4>
      </vt:variant>
      <vt:variant>
        <vt:i4>5</vt:i4>
      </vt:variant>
      <vt:variant>
        <vt:lpwstr/>
      </vt:variant>
      <vt:variant>
        <vt:lpwstr>_Toc453326657</vt:lpwstr>
      </vt:variant>
      <vt:variant>
        <vt:i4>1179699</vt:i4>
      </vt:variant>
      <vt:variant>
        <vt:i4>14</vt:i4>
      </vt:variant>
      <vt:variant>
        <vt:i4>0</vt:i4>
      </vt:variant>
      <vt:variant>
        <vt:i4>5</vt:i4>
      </vt:variant>
      <vt:variant>
        <vt:lpwstr/>
      </vt:variant>
      <vt:variant>
        <vt:lpwstr>_Toc453326656</vt:lpwstr>
      </vt:variant>
      <vt:variant>
        <vt:i4>1179699</vt:i4>
      </vt:variant>
      <vt:variant>
        <vt:i4>8</vt:i4>
      </vt:variant>
      <vt:variant>
        <vt:i4>0</vt:i4>
      </vt:variant>
      <vt:variant>
        <vt:i4>5</vt:i4>
      </vt:variant>
      <vt:variant>
        <vt:lpwstr/>
      </vt:variant>
      <vt:variant>
        <vt:lpwstr>_Toc453326655</vt:lpwstr>
      </vt:variant>
      <vt:variant>
        <vt:i4>1179699</vt:i4>
      </vt:variant>
      <vt:variant>
        <vt:i4>2</vt:i4>
      </vt:variant>
      <vt:variant>
        <vt:i4>0</vt:i4>
      </vt:variant>
      <vt:variant>
        <vt:i4>5</vt:i4>
      </vt:variant>
      <vt:variant>
        <vt:lpwstr/>
      </vt:variant>
      <vt:variant>
        <vt:lpwstr>_Toc453326654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ONE BENEFICIARY</dc:title>
  <dc:subject>grant agreement</dc:subject>
  <dc:creator>ANGELOVA Yana (BUDG)</dc:creator>
  <cp:keywords>grant, agreement, subventions, multi, beneficiaries</cp:keywords>
  <cp:lastModifiedBy>Borut Korada</cp:lastModifiedBy>
  <cp:revision>2</cp:revision>
  <cp:lastPrinted>2018-12-18T11:26:00Z</cp:lastPrinted>
  <dcterms:created xsi:type="dcterms:W3CDTF">2022-08-25T15:01:00Z</dcterms:created>
  <dcterms:modified xsi:type="dcterms:W3CDTF">2022-08-25T15:01:00Z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0x010100D0966A0EB06BCE41920AE7F09F889088</vt:lpwstr>
  </property>
  <property fmtid="{D5CDD505-2E9C-101B-9397-08002B2CF9AE}" pid="4" name="Order">
    <vt:r8>32600</vt:r8>
  </property>
</Properties>
</file>