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F1" w:rsidRDefault="00BD22F1" w:rsidP="00BD22F1">
      <w:pPr>
        <w:spacing w:before="100" w:beforeAutospacing="1" w:after="100" w:afterAutospacing="1" w:line="240" w:lineRule="auto"/>
        <w:jc w:val="center"/>
        <w:rPr>
          <w:noProof/>
          <w:lang w:val="en-US"/>
        </w:rPr>
      </w:pPr>
    </w:p>
    <w:p w:rsidR="00BD22F1" w:rsidRPr="00954DDF" w:rsidRDefault="00BD22F1" w:rsidP="00BD22F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3240446" wp14:editId="17C49852">
            <wp:extent cx="1798993" cy="67640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_Disinf_DEF_FB_co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52" cy="68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F1" w:rsidRPr="00293EE6" w:rsidRDefault="00BD22F1" w:rsidP="00BD22F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293EE6">
        <w:rPr>
          <w:rFonts w:eastAsia="Times New Roman" w:cstheme="minorHAnsi"/>
          <w:b/>
          <w:sz w:val="40"/>
          <w:szCs w:val="40"/>
        </w:rPr>
        <w:t>Delovni list eTwinning</w:t>
      </w:r>
    </w:p>
    <w:p w:rsidR="00BD22F1" w:rsidRPr="00954DDF" w:rsidRDefault="00BD22F1" w:rsidP="00BD22F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293EE6">
        <w:rPr>
          <w:rFonts w:eastAsia="Times New Roman" w:cstheme="minorHAnsi"/>
          <w:b/>
          <w:sz w:val="40"/>
          <w:szCs w:val="40"/>
        </w:rPr>
        <w:t>»</w:t>
      </w:r>
      <w:r>
        <w:rPr>
          <w:rFonts w:eastAsia="Times New Roman" w:cstheme="minorHAnsi"/>
          <w:b/>
          <w:sz w:val="40"/>
          <w:szCs w:val="40"/>
        </w:rPr>
        <w:t>ETWINNING-ZRCALO NAŠE DRUŽBE</w:t>
      </w:r>
      <w:r w:rsidRPr="00293EE6">
        <w:rPr>
          <w:rFonts w:eastAsia="Times New Roman" w:cstheme="minorHAnsi"/>
          <w:b/>
          <w:sz w:val="40"/>
          <w:szCs w:val="40"/>
        </w:rPr>
        <w:t>«</w:t>
      </w:r>
    </w:p>
    <w:p w:rsidR="00BD22F1" w:rsidRDefault="00BD22F1" w:rsidP="00BD22F1">
      <w:pPr>
        <w:rPr>
          <w:rFonts w:eastAsia="Times New Roman" w:cstheme="minorHAnsi"/>
          <w:b/>
          <w:sz w:val="24"/>
          <w:szCs w:val="24"/>
        </w:rPr>
      </w:pPr>
    </w:p>
    <w:p w:rsidR="00BD22F1" w:rsidRPr="00293EE6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sz w:val="24"/>
          <w:szCs w:val="24"/>
        </w:rPr>
      </w:pPr>
      <w:r w:rsidRPr="00293EE6">
        <w:rPr>
          <w:rFonts w:eastAsia="Times New Roman" w:cstheme="minorHAnsi"/>
          <w:b/>
          <w:sz w:val="24"/>
          <w:szCs w:val="24"/>
        </w:rPr>
        <w:t>Šola:</w:t>
      </w:r>
    </w:p>
    <w:p w:rsidR="00BD22F1" w:rsidRPr="00293EE6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sz w:val="24"/>
          <w:szCs w:val="24"/>
        </w:rPr>
      </w:pPr>
      <w:r w:rsidRPr="00293EE6">
        <w:rPr>
          <w:rFonts w:eastAsia="Times New Roman" w:cstheme="minorHAnsi"/>
          <w:b/>
          <w:sz w:val="24"/>
          <w:szCs w:val="24"/>
        </w:rPr>
        <w:t>Mentor/ica:</w:t>
      </w:r>
    </w:p>
    <w:p w:rsidR="00BD22F1" w:rsidRPr="00293EE6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sz w:val="24"/>
          <w:szCs w:val="24"/>
        </w:rPr>
      </w:pPr>
      <w:r w:rsidRPr="00293EE6">
        <w:rPr>
          <w:rFonts w:eastAsia="Times New Roman" w:cstheme="minorHAnsi"/>
          <w:b/>
          <w:sz w:val="24"/>
          <w:szCs w:val="24"/>
        </w:rPr>
        <w:t xml:space="preserve">E-pošta: </w:t>
      </w:r>
    </w:p>
    <w:p w:rsidR="00BD22F1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Število s</w:t>
      </w:r>
      <w:r w:rsidRPr="00293EE6">
        <w:rPr>
          <w:rFonts w:eastAsia="Times New Roman" w:cstheme="minorHAnsi"/>
          <w:b/>
          <w:sz w:val="24"/>
          <w:szCs w:val="24"/>
        </w:rPr>
        <w:t>odelujoči učenc</w:t>
      </w:r>
      <w:r>
        <w:rPr>
          <w:rFonts w:eastAsia="Times New Roman" w:cstheme="minorHAnsi"/>
          <w:b/>
          <w:sz w:val="24"/>
          <w:szCs w:val="24"/>
        </w:rPr>
        <w:t>ev</w:t>
      </w:r>
      <w:r w:rsidRPr="00293EE6">
        <w:rPr>
          <w:rFonts w:eastAsia="Times New Roman" w:cstheme="minorHAnsi"/>
          <w:b/>
          <w:sz w:val="24"/>
          <w:szCs w:val="24"/>
        </w:rPr>
        <w:t>/dijak</w:t>
      </w:r>
      <w:r>
        <w:rPr>
          <w:rFonts w:eastAsia="Times New Roman" w:cstheme="minorHAnsi"/>
          <w:b/>
          <w:sz w:val="24"/>
          <w:szCs w:val="24"/>
        </w:rPr>
        <w:t>ov</w:t>
      </w:r>
      <w:r w:rsidRPr="00293EE6">
        <w:rPr>
          <w:rFonts w:eastAsia="Times New Roman" w:cstheme="minorHAnsi"/>
          <w:b/>
          <w:sz w:val="24"/>
          <w:szCs w:val="24"/>
        </w:rPr>
        <w:t xml:space="preserve">: </w:t>
      </w:r>
    </w:p>
    <w:p w:rsidR="00BD22F1" w:rsidRPr="00293EE6" w:rsidRDefault="00BD22F1" w:rsidP="00BD22F1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Vabimo vas, da v času spomladanske kampanje eTwinning, od 1. 3. do 31. 5. 2021, berete novice in spremljate objave ter komentarje na socialnih omrežjih  s kritičnim očesom, s posebno pozornostjo na lažne, neprimerne, nespoštljive informacije ter sovražni govor. </w:t>
      </w:r>
    </w:p>
    <w:p w:rsidR="00BD22F1" w:rsidRPr="00293EE6" w:rsidRDefault="00BD22F1" w:rsidP="00BD22F1">
      <w:pPr>
        <w:rPr>
          <w:rFonts w:eastAsia="Times New Roman" w:cstheme="minorHAnsi"/>
          <w:b/>
          <w:sz w:val="24"/>
          <w:szCs w:val="24"/>
        </w:rPr>
      </w:pPr>
      <w:r w:rsidRPr="00293EE6">
        <w:rPr>
          <w:rFonts w:eastAsia="Times New Roman" w:cstheme="minorHAnsi"/>
          <w:b/>
          <w:sz w:val="24"/>
          <w:szCs w:val="24"/>
        </w:rPr>
        <w:t>Medij</w:t>
      </w:r>
      <w:r>
        <w:rPr>
          <w:rFonts w:eastAsia="Times New Roman" w:cstheme="minorHAnsi"/>
          <w:b/>
          <w:sz w:val="24"/>
          <w:szCs w:val="24"/>
        </w:rPr>
        <w:t>, datum objave</w:t>
      </w:r>
      <w:r w:rsidRPr="00293EE6">
        <w:rPr>
          <w:rFonts w:eastAsia="Times New Roman" w:cstheme="minorHAnsi"/>
          <w:b/>
          <w:sz w:val="24"/>
          <w:szCs w:val="24"/>
        </w:rPr>
        <w:t>:</w:t>
      </w:r>
    </w:p>
    <w:p w:rsidR="00BD22F1" w:rsidRDefault="00BD22F1" w:rsidP="00BD22F1">
      <w:pPr>
        <w:rPr>
          <w:rFonts w:eastAsia="Times New Roman" w:cstheme="minorHAnsi"/>
          <w:b/>
          <w:sz w:val="24"/>
          <w:szCs w:val="24"/>
        </w:rPr>
      </w:pPr>
      <w:r w:rsidRPr="00293EE6">
        <w:rPr>
          <w:rFonts w:eastAsia="Times New Roman" w:cstheme="minorHAnsi"/>
          <w:b/>
          <w:sz w:val="24"/>
          <w:szCs w:val="24"/>
        </w:rPr>
        <w:t>Povezava do novice: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BD22F1" w:rsidRDefault="00BD22F1" w:rsidP="00BD22F1">
      <w:pPr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</w:p>
    <w:p w:rsidR="00BD22F1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Nasvet: pred pričetkom raziskovanja objav v različnih medijih, preverite skupaj z vašim mentorjem/učiteljem, kaj je sovražni govor in kateri so škodljivi elementi tega področja. V pomoč so vam lahko naslednje spletne strani in viri, ki ozaveščajo o sovražnem govoru: </w:t>
      </w:r>
    </w:p>
    <w:p w:rsidR="00BD22F1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SELMA, </w:t>
      </w:r>
      <w:proofErr w:type="spellStart"/>
      <w:r>
        <w:rPr>
          <w:i/>
        </w:rPr>
        <w:t>Hacking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hate</w:t>
      </w:r>
      <w:proofErr w:type="spellEnd"/>
      <w:r>
        <w:rPr>
          <w:i/>
        </w:rPr>
        <w:t xml:space="preserve">: </w:t>
      </w:r>
      <w:hyperlink r:id="rId8" w:history="1">
        <w:r w:rsidRPr="00037B98">
          <w:rPr>
            <w:rStyle w:val="Hyperlink"/>
            <w:i/>
          </w:rPr>
          <w:t>https://hackinghate.eu/toolkit/</w:t>
        </w:r>
      </w:hyperlink>
      <w:r>
        <w:rPr>
          <w:i/>
        </w:rPr>
        <w:t>,</w:t>
      </w:r>
    </w:p>
    <w:p w:rsidR="00BD22F1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Spletno okno: </w:t>
      </w:r>
      <w:hyperlink r:id="rId9" w:history="1">
        <w:r w:rsidRPr="00037B98">
          <w:rPr>
            <w:rStyle w:val="Hyperlink"/>
            <w:i/>
          </w:rPr>
          <w:t>https://www.spletno-oko.si/sovrazni-govor/kaj-je-sovrazni-govor</w:t>
        </w:r>
      </w:hyperlink>
      <w:r>
        <w:rPr>
          <w:i/>
        </w:rPr>
        <w:t>,</w:t>
      </w:r>
    </w:p>
    <w:p w:rsidR="00BD22F1" w:rsidRPr="00D0275D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Safe.si: </w:t>
      </w:r>
      <w:hyperlink r:id="rId10" w:history="1">
        <w:r w:rsidRPr="00037B98">
          <w:rPr>
            <w:rStyle w:val="Hyperlink"/>
            <w:i/>
          </w:rPr>
          <w:t>https://issuu.com/safe-si2011/docs/prirocnik_za_prijavljanje_sovrazneg</w:t>
        </w:r>
      </w:hyperlink>
      <w:r>
        <w:rPr>
          <w:i/>
        </w:rPr>
        <w:t xml:space="preserve">. </w:t>
      </w:r>
    </w:p>
    <w:p w:rsidR="00BD22F1" w:rsidRDefault="00BD22F1" w:rsidP="00BD22F1">
      <w:pPr>
        <w:rPr>
          <w:rFonts w:eastAsia="Times New Roman" w:cstheme="minorHAnsi"/>
          <w:b/>
          <w:sz w:val="24"/>
          <w:szCs w:val="24"/>
        </w:rPr>
      </w:pPr>
    </w:p>
    <w:p w:rsidR="00BD22F1" w:rsidRDefault="00BD22F1" w:rsidP="00BD22F1">
      <w:pPr>
        <w:rPr>
          <w:rFonts w:eastAsia="Times New Roman" w:cstheme="minorHAnsi"/>
          <w:b/>
          <w:sz w:val="24"/>
          <w:szCs w:val="24"/>
        </w:rPr>
      </w:pPr>
    </w:p>
    <w:p w:rsidR="00BD22F1" w:rsidRDefault="00BD22F1" w:rsidP="00BD22F1">
      <w:pPr>
        <w:rPr>
          <w:rFonts w:eastAsia="Times New Roman" w:cstheme="minorHAnsi"/>
          <w:b/>
          <w:sz w:val="24"/>
          <w:szCs w:val="24"/>
        </w:rPr>
      </w:pPr>
    </w:p>
    <w:p w:rsidR="00BD22F1" w:rsidRDefault="00BD22F1" w:rsidP="00BD22F1">
      <w:pPr>
        <w:rPr>
          <w:rFonts w:eastAsia="Times New Roman" w:cstheme="minorHAnsi"/>
          <w:b/>
          <w:sz w:val="24"/>
          <w:szCs w:val="24"/>
        </w:rPr>
      </w:pPr>
    </w:p>
    <w:p w:rsidR="00BD22F1" w:rsidRPr="00954DDF" w:rsidRDefault="00BD22F1" w:rsidP="00BD22F1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4"/>
          <w:szCs w:val="24"/>
        </w:rPr>
      </w:pPr>
      <w:r w:rsidRPr="00954DDF">
        <w:rPr>
          <w:rFonts w:eastAsia="Times New Roman" w:cstheme="minorHAnsi"/>
          <w:b/>
          <w:sz w:val="24"/>
          <w:szCs w:val="24"/>
        </w:rPr>
        <w:t>Kratka vsebina lažne, neprimerne, nespoštljive, nekorektne informacije, sporočila ipd. (do 200 besed)</w:t>
      </w:r>
      <w:r>
        <w:rPr>
          <w:rFonts w:eastAsia="Times New Roman" w:cstheme="minorHAnsi"/>
          <w:b/>
          <w:sz w:val="24"/>
          <w:szCs w:val="24"/>
        </w:rPr>
        <w:t xml:space="preserve">. Na kratko zapišite povzetek dogajanja in kdo je bil ob objavi novice izpostavljen, na katero družbeno skupino se je nanašala novica/informacija/sporočilo (npr. migranti, brezposelni, brezdomci, mladi, itd.). </w:t>
      </w:r>
    </w:p>
    <w:p w:rsidR="00BD22F1" w:rsidRPr="00293EE6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sz w:val="24"/>
          <w:szCs w:val="24"/>
        </w:rPr>
      </w:pPr>
    </w:p>
    <w:p w:rsidR="00BD22F1" w:rsidRPr="00293EE6" w:rsidRDefault="00BD22F1" w:rsidP="00BD22F1">
      <w:pPr>
        <w:spacing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2. </w:t>
      </w:r>
      <w:r w:rsidRPr="00293EE6">
        <w:rPr>
          <w:rFonts w:eastAsia="Times New Roman" w:cstheme="minorHAnsi"/>
          <w:b/>
          <w:sz w:val="24"/>
          <w:szCs w:val="24"/>
        </w:rPr>
        <w:t>Kritični razmislek o objavljeni informaciji</w:t>
      </w:r>
      <w:r>
        <w:rPr>
          <w:rFonts w:eastAsia="Times New Roman" w:cstheme="minorHAnsi"/>
          <w:b/>
          <w:sz w:val="24"/>
          <w:szCs w:val="24"/>
        </w:rPr>
        <w:t xml:space="preserve">/sporočilu. Na kakšen način je vsebina naslavljala določeno skupino, v katerih segmentih novice je zaznati nespoštljivo, neprimerno komunikacijo? Je v objavi zaznati sovražni govor, na kakšen način? </w:t>
      </w:r>
    </w:p>
    <w:p w:rsidR="00BD22F1" w:rsidRPr="00293EE6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:rsidR="00BD22F1" w:rsidRPr="00293EE6" w:rsidRDefault="00BD22F1" w:rsidP="00BD22F1">
      <w:pPr>
        <w:spacing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3. </w:t>
      </w:r>
      <w:r w:rsidRPr="00293EE6">
        <w:rPr>
          <w:rFonts w:eastAsia="Times New Roman" w:cstheme="minorHAnsi"/>
          <w:b/>
          <w:sz w:val="24"/>
          <w:szCs w:val="24"/>
        </w:rPr>
        <w:t xml:space="preserve">Potencialni vpliv objave na </w:t>
      </w:r>
      <w:r>
        <w:rPr>
          <w:rFonts w:eastAsia="Times New Roman" w:cstheme="minorHAnsi"/>
          <w:b/>
          <w:sz w:val="24"/>
          <w:szCs w:val="24"/>
        </w:rPr>
        <w:t>družbo: kakšni so bili odzivi bralcev, ali objava spodbuja nestrpnost družbe do ranljivih skupin, kakšen vpliv je imela objava novice na javno mnenje širše družbe?</w:t>
      </w:r>
    </w:p>
    <w:p w:rsidR="00BD22F1" w:rsidRPr="00293EE6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:rsidR="00BD22F1" w:rsidRPr="00293EE6" w:rsidRDefault="00BD22F1" w:rsidP="00BD22F1">
      <w:pPr>
        <w:spacing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 Predlogi ravnanja </w:t>
      </w:r>
      <w:r w:rsidRPr="00293EE6">
        <w:rPr>
          <w:rFonts w:eastAsia="Times New Roman" w:cstheme="minorHAnsi"/>
          <w:b/>
          <w:sz w:val="24"/>
          <w:szCs w:val="24"/>
        </w:rPr>
        <w:t xml:space="preserve">v primeru </w:t>
      </w:r>
      <w:r>
        <w:rPr>
          <w:rFonts w:eastAsia="Times New Roman" w:cstheme="minorHAnsi"/>
          <w:b/>
          <w:sz w:val="24"/>
          <w:szCs w:val="24"/>
        </w:rPr>
        <w:t xml:space="preserve">opisane objave: kako ravnati v primeru zaznave neprimerne objave v medijih? Kaj lahko kot posamezniki storimo? Na koga se lahko obrnemo? Imamo možnost vpliva na objave v medijih? </w:t>
      </w:r>
    </w:p>
    <w:p w:rsidR="00BD22F1" w:rsidRDefault="00BD22F1" w:rsidP="00BD2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2F1" w:rsidRDefault="00BD22F1" w:rsidP="00BD22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22F1" w:rsidRPr="00D0275D" w:rsidRDefault="00BD22F1" w:rsidP="00BD22F1">
      <w:pPr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*</w:t>
      </w:r>
      <w:r w:rsidRPr="00D0275D">
        <w:rPr>
          <w:rFonts w:eastAsia="Times New Roman" w:cstheme="minorHAnsi"/>
          <w:i/>
          <w:sz w:val="24"/>
          <w:szCs w:val="24"/>
        </w:rPr>
        <w:t>Če želite, lahko prispevku priložite fotografijo sodelujočih učencev/dijakov.</w:t>
      </w:r>
    </w:p>
    <w:p w:rsidR="00BD22F1" w:rsidRDefault="00BD22F1" w:rsidP="00BD22F1"/>
    <w:p w:rsidR="00820A61" w:rsidRDefault="00820A61">
      <w:r>
        <w:br w:type="page"/>
      </w:r>
    </w:p>
    <w:p w:rsidR="007F1556" w:rsidRDefault="007F1556" w:rsidP="0096134F">
      <w:pPr>
        <w:spacing w:before="240" w:after="240" w:line="240" w:lineRule="auto"/>
        <w:jc w:val="both"/>
      </w:pPr>
    </w:p>
    <w:p w:rsidR="00B6480D" w:rsidRDefault="00B6480D" w:rsidP="0096134F">
      <w:pPr>
        <w:spacing w:before="240" w:after="240" w:line="240" w:lineRule="auto"/>
        <w:jc w:val="both"/>
      </w:pPr>
    </w:p>
    <w:sectPr w:rsidR="00B6480D" w:rsidSect="00834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2A" w:rsidRDefault="002C632A" w:rsidP="007F1556">
      <w:pPr>
        <w:spacing w:after="0" w:line="240" w:lineRule="auto"/>
      </w:pPr>
      <w:r>
        <w:separator/>
      </w:r>
    </w:p>
  </w:endnote>
  <w:endnote w:type="continuationSeparator" w:id="0">
    <w:p w:rsidR="002C632A" w:rsidRDefault="002C632A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9" w:rsidRDefault="00834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556" w:rsidRDefault="007F1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02" w:rsidRDefault="008D5A02" w:rsidP="007F1556">
    <w:pPr>
      <w:tabs>
        <w:tab w:val="left" w:pos="8255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68FCCB6" wp14:editId="35AD54AF">
          <wp:simplePos x="0" y="0"/>
          <wp:positionH relativeFrom="column">
            <wp:posOffset>4936490</wp:posOffset>
          </wp:positionH>
          <wp:positionV relativeFrom="paragraph">
            <wp:posOffset>60960</wp:posOffset>
          </wp:positionV>
          <wp:extent cx="1656000" cy="540000"/>
          <wp:effectExtent l="0" t="0" r="0" b="0"/>
          <wp:wrapNone/>
          <wp:docPr id="7" name="Picture 7" descr="Z:\CGP\CMEPIUS 15\LOGOTIPI ZA DOPIS+PPT\etwin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CGP\CMEPIUS 15\LOGOTIPI ZA DOPIS+PPT\etwinn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556" w:rsidRPr="007F1556">
      <w:rPr>
        <w:rFonts w:ascii="Calibri" w:eastAsia="Calibri" w:hAnsi="Calibri" w:cs="Calibri"/>
        <w:b/>
        <w:color w:val="2F2C64"/>
        <w:sz w:val="16"/>
        <w:szCs w:val="16"/>
      </w:rPr>
      <w:tab/>
    </w:r>
    <w:r w:rsidR="007F1556" w:rsidRPr="007F1556">
      <w:rPr>
        <w:rFonts w:ascii="Calibri" w:eastAsia="Calibri" w:hAnsi="Calibri" w:cs="Calibri"/>
        <w:b/>
        <w:color w:val="2F2C64"/>
        <w:sz w:val="16"/>
        <w:szCs w:val="16"/>
      </w:rPr>
      <w:tab/>
    </w:r>
  </w:p>
  <w:p w:rsidR="002F396A" w:rsidRDefault="007F1556" w:rsidP="008D5A02">
    <w:pPr>
      <w:tabs>
        <w:tab w:val="left" w:pos="8255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color w:val="2F2C64"/>
        <w:sz w:val="16"/>
        <w:szCs w:val="16"/>
      </w:rPr>
      <w:tab/>
    </w:r>
  </w:p>
  <w:p w:rsidR="007F1556" w:rsidRPr="007F1556" w:rsidRDefault="00834C69" w:rsidP="008D5A02">
    <w:pPr>
      <w:tabs>
        <w:tab w:val="left" w:pos="8255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A66F47A" wp14:editId="7ABDAF27">
              <wp:simplePos x="0" y="0"/>
              <wp:positionH relativeFrom="column">
                <wp:align>center</wp:align>
              </wp:positionH>
              <wp:positionV relativeFrom="page">
                <wp:posOffset>9747250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162AE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67.5pt;width:502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Avp9nB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:rsidR="007F1556" w:rsidRPr="007F1556" w:rsidRDefault="007F1556" w:rsidP="007F1556">
    <w:pPr>
      <w:tabs>
        <w:tab w:val="center" w:pos="4536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1312" behindDoc="1" locked="0" layoutInCell="1" allowOverlap="1" wp14:anchorId="7E1300A6" wp14:editId="3A0CDC29">
          <wp:simplePos x="0" y="0"/>
          <wp:positionH relativeFrom="column">
            <wp:align>right</wp:align>
          </wp:positionH>
          <wp:positionV relativeFrom="paragraph">
            <wp:posOffset>180340</wp:posOffset>
          </wp:positionV>
          <wp:extent cx="406800" cy="468000"/>
          <wp:effectExtent l="0" t="0" r="0" b="8255"/>
          <wp:wrapNone/>
          <wp:docPr id="3" name="Picture 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556" w:rsidRPr="007F1556" w:rsidRDefault="007F1556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color w:val="2F2C64"/>
        <w:sz w:val="16"/>
        <w:szCs w:val="16"/>
      </w:rPr>
      <w:t>CMEPIUS, Center RS za mobilnost in evropske programe izobraževanja in usposabljanja</w:t>
    </w:r>
  </w:p>
  <w:p w:rsidR="007F1556" w:rsidRDefault="007F1556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ascii="Calibri" w:eastAsia="Calibri" w:hAnsi="Calibri"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:rsidR="007F1556" w:rsidRPr="007F1556" w:rsidRDefault="007F1556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ascii="Calibri" w:eastAsia="Calibri" w:hAnsi="Calibri" w:cs="Calibri"/>
        <w:color w:val="2F2C64"/>
        <w:sz w:val="16"/>
        <w:szCs w:val="16"/>
      </w:rPr>
      <w:t>E-</w:t>
    </w:r>
    <w:r w:rsidR="00B45D4D">
      <w:rPr>
        <w:rFonts w:ascii="Calibri" w:eastAsia="Calibri" w:hAnsi="Calibri" w:cs="Calibri"/>
        <w:color w:val="2F2C64"/>
        <w:sz w:val="16"/>
        <w:szCs w:val="16"/>
      </w:rPr>
      <w:t>pošta</w:t>
    </w:r>
    <w:r w:rsidRPr="007F1556">
      <w:rPr>
        <w:rFonts w:ascii="Calibri" w:eastAsia="Calibri" w:hAnsi="Calibri" w:cs="Calibri"/>
        <w:color w:val="2F2C64"/>
        <w:sz w:val="16"/>
        <w:szCs w:val="16"/>
      </w:rPr>
      <w:t>: info@cmepius.si  |  www.cmepius</w:t>
    </w:r>
    <w:r w:rsidR="00446CDE">
      <w:rPr>
        <w:rFonts w:ascii="Calibri" w:eastAsia="Calibri" w:hAnsi="Calibri" w:cs="Calibri"/>
        <w:color w:val="2F2C64"/>
        <w:sz w:val="16"/>
        <w:szCs w:val="16"/>
      </w:rPr>
      <w:t>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2A" w:rsidRDefault="002C632A" w:rsidP="007F1556">
      <w:pPr>
        <w:spacing w:after="0" w:line="240" w:lineRule="auto"/>
      </w:pPr>
      <w:r>
        <w:separator/>
      </w:r>
    </w:p>
  </w:footnote>
  <w:footnote w:type="continuationSeparator" w:id="0">
    <w:p w:rsidR="002C632A" w:rsidRDefault="002C632A" w:rsidP="007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9" w:rsidRDefault="00834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9" w:rsidRDefault="00834C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56" w:rsidRPr="00834C69" w:rsidRDefault="00834C69" w:rsidP="00834C69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824400" cy="720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42E"/>
    <w:multiLevelType w:val="hybridMultilevel"/>
    <w:tmpl w:val="164E0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E3C78"/>
    <w:rsid w:val="001B2A1F"/>
    <w:rsid w:val="00223C76"/>
    <w:rsid w:val="002C632A"/>
    <w:rsid w:val="002F396A"/>
    <w:rsid w:val="00324812"/>
    <w:rsid w:val="003C4B47"/>
    <w:rsid w:val="00446CDE"/>
    <w:rsid w:val="004A35CE"/>
    <w:rsid w:val="007F1556"/>
    <w:rsid w:val="00820A61"/>
    <w:rsid w:val="00834C69"/>
    <w:rsid w:val="008D5A02"/>
    <w:rsid w:val="008F13C4"/>
    <w:rsid w:val="0096134F"/>
    <w:rsid w:val="00B45D4D"/>
    <w:rsid w:val="00B6480D"/>
    <w:rsid w:val="00BD22F1"/>
    <w:rsid w:val="00C3340D"/>
    <w:rsid w:val="00D5103D"/>
    <w:rsid w:val="00E12721"/>
    <w:rsid w:val="00E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paragraph" w:styleId="ListParagraph">
    <w:name w:val="List Paragraph"/>
    <w:basedOn w:val="Normal"/>
    <w:uiPriority w:val="34"/>
    <w:qFormat/>
    <w:rsid w:val="00BD2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ckinghate.eu/toolk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ssuu.com/safe-si2011/docs/prirocnik_za_prijavljanje_sovraz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letno-oko.si/sovrazni-govor/kaj-je-sovrazni-govo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Maja Abramič</cp:lastModifiedBy>
  <cp:revision>2</cp:revision>
  <dcterms:created xsi:type="dcterms:W3CDTF">2021-03-01T12:58:00Z</dcterms:created>
  <dcterms:modified xsi:type="dcterms:W3CDTF">2021-03-01T12:58:00Z</dcterms:modified>
</cp:coreProperties>
</file>