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11" w:rsidRPr="00210713" w:rsidRDefault="00D10FE9" w:rsidP="001D2C59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46F5F69E" wp14:editId="6502D5BA">
            <wp:simplePos x="0" y="0"/>
            <wp:positionH relativeFrom="column">
              <wp:posOffset>5272405</wp:posOffset>
            </wp:positionH>
            <wp:positionV relativeFrom="paragraph">
              <wp:posOffset>-382509</wp:posOffset>
            </wp:positionV>
            <wp:extent cx="615062" cy="636905"/>
            <wp:effectExtent l="0" t="0" r="0" b="0"/>
            <wp:wrapNone/>
            <wp:docPr id="3" name="Picture 3" descr="logo eng barvni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ng barvni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2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713" w:rsidRPr="00210713">
        <w:rPr>
          <w:rFonts w:asciiTheme="minorHAnsi" w:hAnsiTheme="minorHAnsi"/>
          <w:b/>
          <w:sz w:val="22"/>
          <w:szCs w:val="22"/>
          <w:lang w:val="en-GB"/>
        </w:rPr>
        <w:t>PREPARATION FOR LEARNING</w:t>
      </w:r>
    </w:p>
    <w:p w:rsidR="001D2C59" w:rsidRPr="00210713" w:rsidRDefault="001D2C59" w:rsidP="001D2C59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1D2C59" w:rsidRPr="00210713" w:rsidTr="009F4325">
        <w:trPr>
          <w:trHeight w:val="421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BF09A2" w:rsidRDefault="00982DBB" w:rsidP="00210713">
            <w:pPr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Learni</w:t>
            </w:r>
            <w:r w:rsidR="00BF09A2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ng</w:t>
            </w:r>
            <w:r w:rsidR="00210713" w:rsidRP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 topic</w:t>
            </w:r>
            <w:r w:rsidR="001D2C59" w:rsidRP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:</w:t>
            </w:r>
            <w:r w:rsidR="001D2C59" w:rsidRPr="0021071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1F47A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INTERCULTURAL and</w:t>
            </w:r>
            <w:r w:rsidR="00210713" w:rsidRPr="0021071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SOCIAL DIFFERENC</w:t>
            </w:r>
            <w:r w:rsidR="001F47A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ES, INTERNATIONALISATION AT HOME,</w:t>
            </w:r>
            <w:r w:rsidR="00210713" w:rsidRPr="0021071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INTERNATIONALISATION OF THE CURRICULUM</w:t>
            </w:r>
          </w:p>
        </w:tc>
      </w:tr>
      <w:tr w:rsidR="001D2C59" w:rsidRPr="00210713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210713" w:rsidRDefault="00982DBB" w:rsidP="00210713">
            <w:pPr>
              <w:pStyle w:val="ListParagraph"/>
              <w:ind w:left="0" w:right="-421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Learning</w:t>
            </w:r>
            <w:r w:rsidR="00210713" w:rsidRP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 unit</w:t>
            </w:r>
            <w:r w:rsidR="001D2C59" w:rsidRP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:</w:t>
            </w:r>
            <w:r w:rsidR="001D2C59" w:rsidRPr="0021071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 </w:t>
            </w:r>
            <w:r w:rsidR="00F1145F" w:rsidRPr="0021071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Internationalisation at Home: The Story of Fruits</w:t>
            </w:r>
          </w:p>
        </w:tc>
      </w:tr>
      <w:tr w:rsidR="001D2C59" w:rsidRPr="00210713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210713" w:rsidRDefault="00210713" w:rsidP="001D2C5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Learning outcomes</w:t>
            </w:r>
            <w:r w:rsidR="001D2C59" w:rsidRP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:  </w:t>
            </w:r>
          </w:p>
          <w:p w:rsidR="001D2C59" w:rsidRDefault="00210713" w:rsidP="001D2C5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Participants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will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  <w:p w:rsidR="00942B46" w:rsidRPr="00210713" w:rsidRDefault="00942B46" w:rsidP="001D2C5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- </w:t>
            </w:r>
            <w:r w:rsidRPr="00942B4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recognize the elements of culturally unadapted practice in the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video,</w:t>
            </w:r>
          </w:p>
          <w:p w:rsidR="001D2C59" w:rsidRPr="00210713" w:rsidRDefault="001D2C59" w:rsidP="001D2C5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- 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>o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>bserve and adopt a critical position towards the sele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cted elements from the animated video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with an emphasis on metaphorical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,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intercultural and social elements;</w:t>
            </w:r>
          </w:p>
          <w:p w:rsidR="00210713" w:rsidRDefault="00B75DF7" w:rsidP="001D2C5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- 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>p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>ropose improvements for a more effective, successful and interactive work in an internationally diverse classroom;</w:t>
            </w:r>
          </w:p>
          <w:p w:rsidR="00B75DF7" w:rsidRPr="00210713" w:rsidRDefault="00942B46" w:rsidP="009A084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- r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eflect on their own work in the classroom with culturally/socially mixed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groups of pupils/students,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 write down proposed improvements.</w:t>
            </w:r>
          </w:p>
        </w:tc>
        <w:bookmarkStart w:id="0" w:name="_GoBack"/>
        <w:bookmarkEnd w:id="0"/>
      </w:tr>
      <w:tr w:rsidR="001D2C59" w:rsidRPr="00210713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210713" w:rsidRDefault="003D5BBB" w:rsidP="00982DB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L</w:t>
            </w:r>
            <w:r w:rsidR="00982DBB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earning</w:t>
            </w:r>
            <w:r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 mode</w:t>
            </w:r>
            <w:r w:rsidR="001D2C59" w:rsidRP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: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frontal</w:t>
            </w:r>
            <w:r w:rsidR="00C74F67" w:rsidRPr="00210713">
              <w:rPr>
                <w:rFonts w:asciiTheme="minorHAnsi" w:hAnsiTheme="minorHAnsi"/>
                <w:sz w:val="22"/>
                <w:szCs w:val="22"/>
                <w:lang w:val="en-GB"/>
              </w:rPr>
              <w:t>,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individual</w:t>
            </w:r>
            <w:r w:rsidR="001D2C59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, 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>group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work</w:t>
            </w:r>
          </w:p>
        </w:tc>
      </w:tr>
      <w:tr w:rsidR="001D2C59" w:rsidRPr="00210713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210713" w:rsidRDefault="00982DBB" w:rsidP="00982DB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Learning</w:t>
            </w:r>
            <w:r w:rsid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 methods</w:t>
            </w:r>
            <w:r w:rsidR="001D2C59" w:rsidRP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:</w:t>
            </w:r>
            <w:r w:rsidR="001D2C59" w:rsidRPr="00210713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>discussion, explanation, demonstration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(video)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>, graphical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>/written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products</w:t>
            </w:r>
          </w:p>
        </w:tc>
      </w:tr>
      <w:tr w:rsidR="001D2C59" w:rsidRPr="00210713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210713" w:rsidRDefault="00982DBB" w:rsidP="00982DB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Learning a</w:t>
            </w:r>
            <w:r w:rsid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ids</w:t>
            </w:r>
            <w:r w:rsidR="00C74F67" w:rsidRP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:</w:t>
            </w:r>
            <w:r w:rsidR="00C74F67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anim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ated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video</w:t>
            </w:r>
            <w:r w:rsidR="00340B7B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</w:t>
            </w:r>
            <w:hyperlink r:id="rId8" w:history="1">
              <w:r w:rsidR="00340B7B" w:rsidRPr="00210713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https://www.youtube.com/watch?v=UzyerAVW-js&amp;t=1s</w:t>
              </w:r>
            </w:hyperlink>
            <w:r w:rsidR="00340B7B" w:rsidRPr="00210713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  <w:r w:rsidR="00C74F67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Learning Sheet</w:t>
            </w:r>
          </w:p>
        </w:tc>
      </w:tr>
      <w:tr w:rsidR="001D2C59" w:rsidRPr="00210713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7" w:rsidRPr="00210713" w:rsidRDefault="00C74F67" w:rsidP="001D2C59">
            <w:pPr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 w:rsidRP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*</w:t>
            </w:r>
            <w:r w:rsidR="001D2C59" w:rsidRP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Literatur</w:t>
            </w:r>
            <w:r w:rsid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e</w:t>
            </w:r>
            <w:r w:rsidR="001D2C59" w:rsidRP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:</w:t>
            </w:r>
            <w:r w:rsidRPr="00210713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 </w:t>
            </w:r>
          </w:p>
          <w:p w:rsidR="001D2C59" w:rsidRPr="00210713" w:rsidRDefault="00C74F67" w:rsidP="00C74F67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- 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>Manual</w:t>
            </w:r>
            <w:r w:rsidR="001A3EA9" w:rsidRPr="00210713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Internationalisation of the Curriculum</w:t>
            </w: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</w:t>
            </w:r>
            <w:hyperlink r:id="rId9" w:history="1">
              <w:r w:rsidR="00596092" w:rsidRPr="00210713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https://www.cmepius.si/wp-content/uploads/2014/02/Internacionalizacija-kurikuluma_NET.pdf</w:t>
              </w:r>
            </w:hyperlink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  <w:p w:rsidR="00C74F67" w:rsidRPr="00210713" w:rsidRDefault="00C74F67" w:rsidP="00C74F67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- 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>Educational video</w:t>
            </w: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>: Interna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>tionalisation of the Curriculum</w:t>
            </w:r>
            <w:r w:rsidR="00596092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</w:t>
            </w:r>
            <w:hyperlink r:id="rId10" w:history="1">
              <w:r w:rsidR="00596092" w:rsidRPr="00210713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https://www.youtube.com/watch?v=jM3xwvDvuLo&amp;t=983s</w:t>
              </w:r>
            </w:hyperlink>
            <w:r w:rsidR="00596092" w:rsidRPr="00210713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  <w:p w:rsidR="001A3EA9" w:rsidRPr="00210713" w:rsidRDefault="001A3EA9" w:rsidP="00210713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- 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>Manual</w:t>
            </w: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="00210713">
              <w:rPr>
                <w:rFonts w:asciiTheme="minorHAnsi" w:hAnsiTheme="minorHAnsi"/>
                <w:sz w:val="22"/>
                <w:szCs w:val="22"/>
                <w:lang w:val="en-GB"/>
              </w:rPr>
              <w:t>Writing and application of learning outcomes</w:t>
            </w: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</w:t>
            </w:r>
            <w:hyperlink r:id="rId11" w:history="1">
              <w:r w:rsidRPr="00210713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https://www.cmepius.si/wp-content/uploads/2015/06/A-Learning-Outcomes-Book-D-Kennedy.pdf</w:t>
              </w:r>
            </w:hyperlink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) </w:t>
            </w:r>
          </w:p>
        </w:tc>
      </w:tr>
      <w:tr w:rsidR="001D2C59" w:rsidRPr="00210713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210713" w:rsidRDefault="00210713" w:rsidP="004400B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COURSE OF WORK</w:t>
            </w:r>
          </w:p>
          <w:p w:rsidR="00E8003A" w:rsidRPr="00210713" w:rsidRDefault="00E8003A" w:rsidP="00596092">
            <w:p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5A0E6A" w:rsidRDefault="00210713" w:rsidP="00596092">
            <w:p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Before playing the 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video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join the participants to discuss and/or to address the concept of </w:t>
            </w:r>
            <w:r w:rsidRPr="0021071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internationalisation at home/internationalisation of the curriculum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;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discuss the significance of </w:t>
            </w:r>
            <w:r w:rsidRPr="005A0E6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preparation of pupils/students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prior to attending an exchange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>, mobility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organisational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preparation, cultural-l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>inguistic preparation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>as well as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academic/professional preparation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; and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 role of teachers when working with pupils/students in 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 foreign or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a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>n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international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environment, etc.</w:t>
            </w:r>
          </w:p>
          <w:p w:rsidR="005A0E6A" w:rsidRDefault="005A0E6A" w:rsidP="00596092">
            <w:p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E8003A" w:rsidRDefault="003D5BBB" w:rsidP="00596092">
            <w:p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In general,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institutions provide adequate organisational preparation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to outgoing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foreign exchange 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>pupils/students prior to their departure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. H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owever, they are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usually far 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>less effe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ctive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in the provision of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linguistic/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cultural preparation and academic/professional preparation. Even teachers rarely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get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 chance to participate in trainings for working with international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ly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(as well as socially) mixed groups of pupils/students, therefore they fail to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see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 exploit the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learners’ 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>cultural and social capital.</w:t>
            </w:r>
          </w:p>
          <w:p w:rsidR="005A0E6A" w:rsidRDefault="00982DBB" w:rsidP="00596092">
            <w:p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They often 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neglect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 fail to exploit the 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>impa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ct of the culture and/or environment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on the profession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,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as well as possibilities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 opportunities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offered when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work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ing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in internationally mixed classroom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s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5A0E6A" w:rsidRDefault="005A0E6A" w:rsidP="00596092">
            <w:p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D77996" w:rsidRPr="00210713" w:rsidRDefault="005A0E6A" w:rsidP="005A0E6A">
            <w:p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We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further support this claim through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out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 implementation of the workshop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, 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by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using t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he animated video and Learning S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heet.</w:t>
            </w:r>
            <w:r w:rsidR="00D77996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9F4325" w:rsidRPr="00210713" w:rsidRDefault="009F4325" w:rsidP="00D77996">
            <w:p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D77996" w:rsidRPr="00210713" w:rsidRDefault="005A0E6A" w:rsidP="00E8003A">
            <w:pPr>
              <w:contextualSpacing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INTRODUCTION – MOTIVATION</w:t>
            </w:r>
            <w:r w:rsidR="00D77996" w:rsidRPr="0021071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  <w:p w:rsidR="007B2786" w:rsidRPr="00210713" w:rsidRDefault="005A0E6A" w:rsidP="007B2786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Before playing the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video,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ask all participants whether they have any experience in teaching internationally/socially mixed groups of pupils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/students,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 what challenges did they face in the process (</w:t>
            </w:r>
            <w:r w:rsidR="007B2786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3 min). </w:t>
            </w:r>
          </w:p>
          <w:p w:rsidR="00E8003A" w:rsidRPr="00210713" w:rsidRDefault="003D5BBB" w:rsidP="007B2786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Distribute Learning S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>heets and prep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are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 participants for the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video</w:t>
            </w:r>
            <w:r w:rsidR="007B2786" w:rsidRPr="00210713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340B7B" w:rsidRPr="00210713" w:rsidRDefault="00340B7B" w:rsidP="00E8003A">
            <w:p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D77996" w:rsidRPr="00210713" w:rsidRDefault="005A0E6A" w:rsidP="00E8003A">
            <w:pPr>
              <w:contextualSpacing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MAIN PART</w:t>
            </w:r>
            <w:r w:rsidR="00D77996" w:rsidRPr="0021071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  <w:p w:rsidR="00D9328A" w:rsidRPr="00210713" w:rsidRDefault="005A0E6A" w:rsidP="007B278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First tell </w:t>
            </w:r>
            <w:r w:rsidR="00C838E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participants that CMEPIUS </w:t>
            </w:r>
            <w:r w:rsidR="003D5BBB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produced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an educational video on the topic of internationalisation at home/internationalisation of the curriculum (PROMOTION!</w:t>
            </w:r>
            <w:r w:rsidR="00595228" w:rsidRPr="0021071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)</w:t>
            </w:r>
            <w:r w:rsidR="00942B4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within EHEA project</w:t>
            </w:r>
            <w:r w:rsidR="00D9328A" w:rsidRPr="0021071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.</w:t>
            </w:r>
            <w:r w:rsidR="00595228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D9328A" w:rsidRPr="00210713" w:rsidRDefault="00D9328A" w:rsidP="007B278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D9328A" w:rsidRPr="00210713" w:rsidRDefault="005A0E6A" w:rsidP="00D9328A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First watching of the video</w:t>
            </w:r>
            <w:r w:rsidR="00D9328A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</w:p>
          <w:p w:rsidR="00340B7B" w:rsidRPr="00210713" w:rsidRDefault="00C838E6" w:rsidP="004400B1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Instruct 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participants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to carefully read the instructions under section 1 of the Learning Sheet. 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In this step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we apply </w:t>
            </w:r>
            <w:r w:rsidR="005A0E6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individual learning mode</w:t>
            </w:r>
            <w:r w:rsidR="00340B7B" w:rsidRPr="00210713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  <w:r w:rsidR="00D9328A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</w:t>
            </w:r>
            <w:r w:rsidR="004400B1" w:rsidRPr="00210713">
              <w:rPr>
                <w:rFonts w:asciiTheme="minorHAnsi" w:hAnsiTheme="minorHAnsi"/>
                <w:sz w:val="22"/>
                <w:szCs w:val="22"/>
                <w:lang w:val="en-GB"/>
              </w:rPr>
              <w:t>2</w:t>
            </w:r>
            <w:r w:rsidR="00D9328A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min)</w:t>
            </w:r>
          </w:p>
          <w:p w:rsidR="004400B1" w:rsidRPr="00210713" w:rsidRDefault="005A0E6A" w:rsidP="00340B7B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This is followed by the 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first watch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ing of the video</w:t>
            </w:r>
            <w:r w:rsidR="004400B1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</w:p>
          <w:p w:rsidR="00340B7B" w:rsidRPr="00210713" w:rsidRDefault="005A0E6A" w:rsidP="00340B7B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After the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end of the video,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we wait a few moments so the participants can arrange their thoughts and exchange a few opinions</w:t>
            </w:r>
            <w:r w:rsidR="00D77996" w:rsidRPr="00210713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(1</w:t>
            </w:r>
            <w:r w:rsidR="007B2786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min)</w:t>
            </w:r>
          </w:p>
          <w:p w:rsidR="00340B7B" w:rsidRPr="00210713" w:rsidRDefault="00D9328A" w:rsidP="00340B7B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340B7B" w:rsidRPr="00210713" w:rsidRDefault="005A0E6A" w:rsidP="007B278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Second watching of the video</w:t>
            </w:r>
            <w:r w:rsidR="007B2786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</w:p>
          <w:p w:rsidR="007B2786" w:rsidRPr="00210713" w:rsidRDefault="00942B46" w:rsidP="000B02A5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- </w:t>
            </w:r>
            <w:r w:rsidR="003D5BBB" w:rsidRPr="00942B46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Before</w:t>
            </w:r>
            <w:r w:rsidR="00C838E6" w:rsidRPr="00942B46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 xml:space="preserve"> watching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,</w:t>
            </w:r>
            <w:r w:rsidR="00C838E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we instruct the 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participants to distribute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elements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listed under 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Section 1 </w:t>
            </w:r>
            <w:r w:rsidR="00982DBB">
              <w:rPr>
                <w:rFonts w:asciiTheme="minorHAnsi" w:hAnsiTheme="minorHAnsi"/>
                <w:sz w:val="22"/>
                <w:szCs w:val="22"/>
                <w:lang w:val="en-GB"/>
              </w:rPr>
              <w:t>a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>mong members of the group (team work). E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ach member should focus only on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 assigned </w:t>
            </w:r>
            <w:r w:rsidR="00C838E6">
              <w:rPr>
                <w:rFonts w:asciiTheme="minorHAnsi" w:hAnsiTheme="minorHAnsi"/>
                <w:sz w:val="22"/>
                <w:szCs w:val="22"/>
                <w:lang w:val="en-GB"/>
              </w:rPr>
              <w:t>element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(</w:t>
            </w:r>
            <w:r w:rsidR="00C838E6">
              <w:rPr>
                <w:rFonts w:asciiTheme="minorHAnsi" w:hAnsiTheme="minorHAnsi"/>
                <w:sz w:val="22"/>
                <w:szCs w:val="22"/>
                <w:lang w:val="en-GB"/>
              </w:rPr>
              <w:t>s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from a) to d). We 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must 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check, whether all participants </w:t>
            </w:r>
            <w:r w:rsidR="00C838E6">
              <w:rPr>
                <w:rFonts w:asciiTheme="minorHAnsi" w:hAnsiTheme="minorHAnsi"/>
                <w:sz w:val="22"/>
                <w:szCs w:val="22"/>
                <w:lang w:val="en-GB"/>
              </w:rPr>
              <w:t>underst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ood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what to expect under each </w:t>
            </w:r>
            <w:r w:rsidR="00C838E6">
              <w:rPr>
                <w:rFonts w:asciiTheme="minorHAnsi" w:hAnsiTheme="minorHAnsi"/>
                <w:sz w:val="22"/>
                <w:szCs w:val="22"/>
                <w:lang w:val="en-GB"/>
              </w:rPr>
              <w:t>element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  <w:r w:rsidR="007B2786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0B02A5" w:rsidRPr="00210713">
              <w:rPr>
                <w:rFonts w:asciiTheme="minorHAnsi" w:hAnsiTheme="minorHAnsi"/>
                <w:sz w:val="22"/>
                <w:szCs w:val="22"/>
                <w:lang w:val="en-GB"/>
              </w:rPr>
              <w:t>(</w:t>
            </w:r>
            <w:r w:rsidR="004400B1" w:rsidRPr="00210713">
              <w:rPr>
                <w:rFonts w:asciiTheme="minorHAnsi" w:hAnsiTheme="minorHAnsi"/>
                <w:sz w:val="22"/>
                <w:szCs w:val="22"/>
                <w:lang w:val="en-GB"/>
              </w:rPr>
              <w:t>2</w:t>
            </w:r>
            <w:r w:rsidR="000B02A5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min)</w:t>
            </w:r>
          </w:p>
          <w:p w:rsidR="004400B1" w:rsidRPr="00210713" w:rsidRDefault="005A0E6A" w:rsidP="004400B1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This is followed by the 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second watching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of the video</w:t>
            </w:r>
            <w:r w:rsidR="004400B1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</w:p>
          <w:p w:rsidR="00D77996" w:rsidRPr="00210713" w:rsidRDefault="00942B46" w:rsidP="00D7799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- </w:t>
            </w:r>
            <w:r w:rsidR="005A0E6A" w:rsidRPr="00942B46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After watching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,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 participants assume a critical position towards the assigned 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elements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They 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exchange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their opinions with their peers.</w:t>
            </w:r>
            <w:r w:rsidR="004400B1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(5</w:t>
            </w:r>
            <w:r w:rsidR="00D77996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min)</w:t>
            </w:r>
          </w:p>
          <w:p w:rsidR="007B2786" w:rsidRPr="00210713" w:rsidRDefault="007B2786" w:rsidP="007B278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7B2786" w:rsidRPr="00210713" w:rsidRDefault="007B2786" w:rsidP="007B278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>T</w:t>
            </w:r>
            <w:r w:rsidR="005A0E6A">
              <w:rPr>
                <w:rFonts w:asciiTheme="minorHAnsi" w:hAnsiTheme="minorHAnsi"/>
                <w:sz w:val="22"/>
                <w:szCs w:val="22"/>
                <w:lang w:val="en-GB"/>
              </w:rPr>
              <w:t>hird watching of the video</w:t>
            </w: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  <w:p w:rsidR="00942B46" w:rsidRDefault="00D77996" w:rsidP="00D7799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>3.1</w:t>
            </w:r>
            <w:r w:rsidR="004B7A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D77996" w:rsidRDefault="00942B46" w:rsidP="00D7799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- </w:t>
            </w:r>
            <w:r w:rsidR="004B7AF4" w:rsidRPr="00942B46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Before watching</w:t>
            </w:r>
            <w:r w:rsidR="004B7A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 </w:t>
            </w:r>
            <w:r w:rsidR="00893C96">
              <w:rPr>
                <w:rFonts w:asciiTheme="minorHAnsi" w:hAnsiTheme="minorHAnsi"/>
                <w:sz w:val="22"/>
                <w:szCs w:val="22"/>
                <w:lang w:val="en-GB"/>
              </w:rPr>
              <w:t>video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,</w:t>
            </w:r>
            <w:r w:rsidR="004B7A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participants should reflect</w:t>
            </w:r>
            <w:r w:rsidR="00893C9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on</w:t>
            </w:r>
            <w:r w:rsidR="004B7A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how they could improve the situation in the international fruit classroom.</w:t>
            </w:r>
          </w:p>
          <w:p w:rsidR="007B2786" w:rsidRPr="004B7AF4" w:rsidRDefault="00942B46" w:rsidP="004B7AF4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- </w:t>
            </w:r>
            <w:r w:rsidR="004B7AF4" w:rsidRPr="00942B46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After watching</w:t>
            </w:r>
            <w:r w:rsidR="004B7A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893C96">
              <w:rPr>
                <w:rFonts w:asciiTheme="minorHAnsi" w:hAnsiTheme="minorHAnsi"/>
                <w:sz w:val="22"/>
                <w:szCs w:val="22"/>
                <w:lang w:val="en-GB"/>
              </w:rPr>
              <w:t>the video, members of</w:t>
            </w:r>
            <w:r w:rsidR="004B7A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 group propose improvements </w:t>
            </w:r>
            <w:r w:rsidR="00893C96">
              <w:rPr>
                <w:rFonts w:asciiTheme="minorHAnsi" w:hAnsiTheme="minorHAnsi"/>
                <w:sz w:val="22"/>
                <w:szCs w:val="22"/>
                <w:lang w:val="en-GB"/>
              </w:rPr>
              <w:t>for each element from a) to d)</w:t>
            </w:r>
            <w:r w:rsidR="004B7A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We </w:t>
            </w:r>
            <w:r w:rsidR="00893C96">
              <w:rPr>
                <w:rFonts w:asciiTheme="minorHAnsi" w:hAnsiTheme="minorHAnsi"/>
                <w:sz w:val="22"/>
                <w:szCs w:val="22"/>
                <w:lang w:val="en-GB"/>
              </w:rPr>
              <w:t>must</w:t>
            </w:r>
            <w:r w:rsidR="004B7A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also </w:t>
            </w:r>
            <w:r w:rsidR="004B7A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warn them about the </w:t>
            </w:r>
            <w:r w:rsidR="00893C9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impact of </w:t>
            </w:r>
            <w:r w:rsidR="004B7AF4" w:rsidRPr="004B7AF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culture and/or environment on the profession</w:t>
            </w:r>
            <w:r w:rsidR="004B7A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r w:rsidR="00D77996" w:rsidRPr="004B7AF4">
              <w:rPr>
                <w:rFonts w:asciiTheme="minorHAnsi" w:hAnsiTheme="minorHAnsi"/>
                <w:sz w:val="22"/>
                <w:szCs w:val="22"/>
                <w:lang w:val="en-GB"/>
              </w:rPr>
              <w:t>(</w:t>
            </w:r>
            <w:r w:rsidR="004400B1" w:rsidRPr="004B7A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5 </w:t>
            </w:r>
            <w:r w:rsidR="00D77996" w:rsidRPr="004B7AF4">
              <w:rPr>
                <w:rFonts w:asciiTheme="minorHAnsi" w:hAnsiTheme="minorHAnsi"/>
                <w:sz w:val="22"/>
                <w:szCs w:val="22"/>
                <w:lang w:val="en-GB"/>
              </w:rPr>
              <w:t>min)</w:t>
            </w:r>
          </w:p>
          <w:p w:rsidR="00D77996" w:rsidRPr="00210713" w:rsidRDefault="00D77996" w:rsidP="00D7799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942B46" w:rsidRDefault="00D77996" w:rsidP="00D7799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3.2 </w:t>
            </w:r>
          </w:p>
          <w:p w:rsidR="00D77996" w:rsidRPr="00210713" w:rsidRDefault="004B7AF4" w:rsidP="00D7799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This is followed by teachers’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>/participants’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reflection about their own work in classrooms with culturally/socially mixed groups of pupils/students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(group work)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. The participants write down the weaknesses of their own work and propose recommendations</w:t>
            </w:r>
            <w:r w:rsidR="00942B4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(eg. posters).</w:t>
            </w:r>
            <w:r w:rsidR="004400B1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(8–10 </w:t>
            </w:r>
            <w:r w:rsidR="00D77996" w:rsidRPr="00210713">
              <w:rPr>
                <w:rFonts w:asciiTheme="minorHAnsi" w:hAnsiTheme="minorHAnsi"/>
                <w:sz w:val="22"/>
                <w:szCs w:val="22"/>
                <w:lang w:val="en-GB"/>
              </w:rPr>
              <w:t>min)</w:t>
            </w:r>
          </w:p>
          <w:p w:rsidR="009F4325" w:rsidRPr="00210713" w:rsidRDefault="009F4325" w:rsidP="00595228">
            <w:pPr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340B7B" w:rsidRPr="00210713" w:rsidRDefault="004B7AF4" w:rsidP="00D77996">
            <w:pPr>
              <w:contextualSpacing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CONCLUSION</w:t>
            </w:r>
            <w:r w:rsidR="00D77996" w:rsidRPr="0021071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  <w:p w:rsidR="00D77996" w:rsidRPr="00210713" w:rsidRDefault="004B7AF4" w:rsidP="00340B7B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Each group report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s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to other participants on the WEAKNESSES and RECOMMENDATIONS which they 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>have written down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  <w:r w:rsidR="009F4325"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082265" w:rsidRPr="00210713" w:rsidRDefault="00082265" w:rsidP="009F4325">
            <w:pPr>
              <w:pStyle w:val="ListParagraph"/>
              <w:contextualSpacing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:rsidR="00595228" w:rsidRPr="004B7AF4" w:rsidRDefault="00982DBB" w:rsidP="00595228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To conclude, we high</w:t>
            </w:r>
            <w:r w:rsidR="004B7AF4" w:rsidRPr="004B7AF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light</w:t>
            </w:r>
            <w:r w:rsidR="004B7AF4" w:rsidRPr="004B7A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 fact that the Learning Sheet contains</w:t>
            </w:r>
            <w:r w:rsidR="00595228" w:rsidRPr="004B7AF4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  <w:p w:rsidR="004B7AF4" w:rsidRPr="003D5BBB" w:rsidRDefault="00595228" w:rsidP="003D5BBB">
            <w:pPr>
              <w:pStyle w:val="ListParagraph"/>
              <w:contextualSpacing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1071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- </w:t>
            </w:r>
            <w:r w:rsidR="003D5BBB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</w:t>
            </w:r>
            <w:r w:rsidR="003D5BBB" w:rsidRPr="003D5BBB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4B7AF4" w:rsidRPr="003D5BBB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URL of the video</w:t>
            </w:r>
            <w:r w:rsidR="004B7AF4" w:rsidRPr="003D5BBB">
              <w:rPr>
                <w:rFonts w:asciiTheme="minorHAnsi" w:hAnsiTheme="minorHAnsi"/>
                <w:sz w:val="22"/>
                <w:szCs w:val="22"/>
                <w:lang w:val="en-GB"/>
              </w:rPr>
              <w:t>,</w:t>
            </w:r>
            <w:r w:rsidR="00982DBB" w:rsidRPr="003D5B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which they can fi</w:t>
            </w:r>
            <w:r w:rsidR="003D5B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nd on YOUTUBE or </w:t>
            </w:r>
            <w:r w:rsidR="004B7AF4" w:rsidRPr="003D5B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CMEPIUS website, where they can also download the </w:t>
            </w:r>
            <w:r w:rsidR="004B7AF4" w:rsidRPr="003D5BBB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Learning Sheet</w:t>
            </w:r>
            <w:r w:rsidR="004B7AF4" w:rsidRPr="003D5B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</w:t>
            </w:r>
            <w:r w:rsidR="004B7AF4" w:rsidRPr="003D5BBB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Preparation for Learning</w:t>
            </w:r>
            <w:r w:rsidR="004B7AF4" w:rsidRPr="003D5BB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documents. </w:t>
            </w:r>
          </w:p>
          <w:p w:rsidR="00595228" w:rsidRPr="00210713" w:rsidRDefault="00595228" w:rsidP="00595228">
            <w:pPr>
              <w:pStyle w:val="ListParagraph"/>
              <w:contextualSpacing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:rsidR="004B7AF4" w:rsidRDefault="004B7AF4" w:rsidP="00A07390">
            <w:pPr>
              <w:pStyle w:val="ListParagraph"/>
              <w:contextualSpacing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Also encourage participants to carry out the workshop with the animated </w:t>
            </w:r>
            <w:r w:rsidR="00982DBB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video</w:t>
            </w:r>
            <w:r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 with their peers/students/pupils. If anyone w</w:t>
            </w:r>
            <w:r w:rsidR="003D5BBB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ishes</w:t>
            </w:r>
            <w:r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 to acquire more information or more theoretical basis regarding internationalisation at home and internationalisation of the curriculum, the website also contains:</w:t>
            </w:r>
          </w:p>
          <w:p w:rsidR="004B7AF4" w:rsidRDefault="004B7AF4" w:rsidP="00A07390">
            <w:pPr>
              <w:pStyle w:val="ListParagraph"/>
              <w:contextualSpacing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- Internationalisation of the curriculum educational video; and</w:t>
            </w:r>
          </w:p>
          <w:p w:rsidR="004B7AF4" w:rsidRDefault="004B7AF4" w:rsidP="00A07390">
            <w:pPr>
              <w:pStyle w:val="ListParagraph"/>
              <w:contextualSpacing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- Manual for higher education teaching and support staff, entitled “Internationalisation of the Curriculum”</w:t>
            </w:r>
          </w:p>
          <w:p w:rsidR="00595228" w:rsidRPr="00210713" w:rsidRDefault="00595228" w:rsidP="00A07390">
            <w:pPr>
              <w:pStyle w:val="ListParagraph"/>
              <w:contextualSpacing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10713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1D2C59" w:rsidRPr="00B56E10" w:rsidRDefault="001D2C59" w:rsidP="00B56E10">
      <w:pPr>
        <w:rPr>
          <w:rFonts w:asciiTheme="minorHAnsi" w:hAnsiTheme="minorHAnsi"/>
          <w:lang w:val="en-GB"/>
        </w:rPr>
      </w:pPr>
    </w:p>
    <w:sectPr w:rsidR="001D2C59" w:rsidRPr="00B56E10" w:rsidSect="00B56E10">
      <w:footerReference w:type="default" r:id="rId12"/>
      <w:pgSz w:w="11906" w:h="16838"/>
      <w:pgMar w:top="993" w:right="1417" w:bottom="1134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93" w:rsidRDefault="004F4793" w:rsidP="00995E8F">
      <w:r>
        <w:separator/>
      </w:r>
    </w:p>
  </w:endnote>
  <w:endnote w:type="continuationSeparator" w:id="0">
    <w:p w:rsidR="004F4793" w:rsidRDefault="004F4793" w:rsidP="0099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59693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995E8F" w:rsidRPr="00995E8F" w:rsidRDefault="00220364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>
          <w:rPr>
            <w:rFonts w:asciiTheme="minorHAnsi" w:hAnsiTheme="minorHAnsi"/>
            <w:noProof/>
            <w:sz w:val="22"/>
            <w:szCs w:val="22"/>
            <w:lang w:val="sl-SI" w:eastAsia="sl-SI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4986655</wp:posOffset>
              </wp:positionH>
              <wp:positionV relativeFrom="paragraph">
                <wp:posOffset>150495</wp:posOffset>
              </wp:positionV>
              <wp:extent cx="1038225" cy="207645"/>
              <wp:effectExtent l="0" t="0" r="0" b="1905"/>
              <wp:wrapNone/>
              <wp:docPr id="2" name="Picture 2" descr="Logotip erasmus +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tip erasmus +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8225" cy="2076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Theme="minorHAnsi" w:hAnsiTheme="minorHAnsi"/>
            <w:noProof/>
            <w:sz w:val="22"/>
            <w:szCs w:val="22"/>
            <w:lang w:val="sl-SI" w:eastAsia="sl-SI"/>
          </w:rPr>
          <w:drawing>
            <wp:anchor distT="0" distB="0" distL="114300" distR="114300" simplePos="0" relativeHeight="251659264" behindDoc="1" locked="0" layoutInCell="1" allowOverlap="1" wp14:anchorId="51258215" wp14:editId="26FC4D7A">
              <wp:simplePos x="0" y="0"/>
              <wp:positionH relativeFrom="column">
                <wp:posOffset>3653155</wp:posOffset>
              </wp:positionH>
              <wp:positionV relativeFrom="paragraph">
                <wp:posOffset>124460</wp:posOffset>
              </wp:positionV>
              <wp:extent cx="1266825" cy="261722"/>
              <wp:effectExtent l="0" t="0" r="0" b="508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2617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95E8F" w:rsidRPr="00995E8F">
          <w:rPr>
            <w:rFonts w:asciiTheme="minorHAnsi" w:hAnsiTheme="minorHAnsi"/>
            <w:sz w:val="22"/>
            <w:szCs w:val="22"/>
          </w:rPr>
          <w:fldChar w:fldCharType="begin"/>
        </w:r>
        <w:r w:rsidR="00995E8F" w:rsidRPr="00995E8F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="00995E8F" w:rsidRPr="00995E8F">
          <w:rPr>
            <w:rFonts w:asciiTheme="minorHAnsi" w:hAnsiTheme="minorHAnsi"/>
            <w:sz w:val="22"/>
            <w:szCs w:val="22"/>
          </w:rPr>
          <w:fldChar w:fldCharType="separate"/>
        </w:r>
        <w:r w:rsidR="00D10FE9">
          <w:rPr>
            <w:rFonts w:asciiTheme="minorHAnsi" w:hAnsiTheme="minorHAnsi"/>
            <w:noProof/>
            <w:sz w:val="22"/>
            <w:szCs w:val="22"/>
          </w:rPr>
          <w:t>2</w:t>
        </w:r>
        <w:r w:rsidR="00995E8F" w:rsidRPr="00995E8F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B56E10" w:rsidRPr="00B56E10" w:rsidRDefault="00B56E10" w:rsidP="00B56E10">
    <w:pPr>
      <w:pStyle w:val="Footer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B56E10">
      <w:rPr>
        <w:rFonts w:asciiTheme="minorHAnsi" w:hAnsiTheme="minorHAnsi" w:cstheme="minorHAnsi"/>
        <w:sz w:val="20"/>
        <w:szCs w:val="20"/>
        <w:lang w:val="en-GB"/>
      </w:rPr>
      <w:t>© 2018 CMEPIUS</w:t>
    </w:r>
  </w:p>
  <w:p w:rsidR="00995E8F" w:rsidRDefault="0099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93" w:rsidRDefault="004F4793" w:rsidP="00995E8F">
      <w:r>
        <w:separator/>
      </w:r>
    </w:p>
  </w:footnote>
  <w:footnote w:type="continuationSeparator" w:id="0">
    <w:p w:rsidR="004F4793" w:rsidRDefault="004F4793" w:rsidP="0099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59E"/>
    <w:multiLevelType w:val="hybridMultilevel"/>
    <w:tmpl w:val="D48CBEE8"/>
    <w:lvl w:ilvl="0" w:tplc="C70EFE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210C1"/>
    <w:multiLevelType w:val="hybridMultilevel"/>
    <w:tmpl w:val="CBCE4F36"/>
    <w:lvl w:ilvl="0" w:tplc="1A86F3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46F2E"/>
    <w:multiLevelType w:val="hybridMultilevel"/>
    <w:tmpl w:val="04EABF20"/>
    <w:lvl w:ilvl="0" w:tplc="829ADC9C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E2025"/>
    <w:multiLevelType w:val="multilevel"/>
    <w:tmpl w:val="A566B360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0">
    <w:nsid w:val="3DC20C94"/>
    <w:multiLevelType w:val="multilevel"/>
    <w:tmpl w:val="2BF0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CB78CE"/>
    <w:multiLevelType w:val="hybridMultilevel"/>
    <w:tmpl w:val="D50A967E"/>
    <w:lvl w:ilvl="0" w:tplc="2904E29C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9AA1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AB"/>
    <w:rsid w:val="00082265"/>
    <w:rsid w:val="000B02A5"/>
    <w:rsid w:val="000B34AB"/>
    <w:rsid w:val="000C11A9"/>
    <w:rsid w:val="001A3EA9"/>
    <w:rsid w:val="001D2C59"/>
    <w:rsid w:val="001F21A7"/>
    <w:rsid w:val="001F47AA"/>
    <w:rsid w:val="00210713"/>
    <w:rsid w:val="00220364"/>
    <w:rsid w:val="00311A45"/>
    <w:rsid w:val="00340B7B"/>
    <w:rsid w:val="003B7674"/>
    <w:rsid w:val="003D5BBB"/>
    <w:rsid w:val="004400B1"/>
    <w:rsid w:val="004B7AF4"/>
    <w:rsid w:val="004F4793"/>
    <w:rsid w:val="0053711A"/>
    <w:rsid w:val="00554911"/>
    <w:rsid w:val="00595228"/>
    <w:rsid w:val="00596092"/>
    <w:rsid w:val="005A0E6A"/>
    <w:rsid w:val="006508FC"/>
    <w:rsid w:val="006D61E4"/>
    <w:rsid w:val="007B2786"/>
    <w:rsid w:val="007F6CBB"/>
    <w:rsid w:val="008339B2"/>
    <w:rsid w:val="008439C6"/>
    <w:rsid w:val="00893C96"/>
    <w:rsid w:val="008B49E9"/>
    <w:rsid w:val="00942B46"/>
    <w:rsid w:val="00982DBB"/>
    <w:rsid w:val="00995E8F"/>
    <w:rsid w:val="009A0849"/>
    <w:rsid w:val="009F4325"/>
    <w:rsid w:val="00A07390"/>
    <w:rsid w:val="00B30BC8"/>
    <w:rsid w:val="00B56E10"/>
    <w:rsid w:val="00B75DF7"/>
    <w:rsid w:val="00B96C11"/>
    <w:rsid w:val="00BF09A2"/>
    <w:rsid w:val="00C716EE"/>
    <w:rsid w:val="00C74F67"/>
    <w:rsid w:val="00C838E6"/>
    <w:rsid w:val="00D10FE9"/>
    <w:rsid w:val="00D57219"/>
    <w:rsid w:val="00D77996"/>
    <w:rsid w:val="00D9328A"/>
    <w:rsid w:val="00E8003A"/>
    <w:rsid w:val="00EB15EF"/>
    <w:rsid w:val="00F1145F"/>
    <w:rsid w:val="00F8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8FD71-10C5-429B-A995-1370EEEA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4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4AB"/>
    <w:pPr>
      <w:ind w:left="720"/>
    </w:pPr>
  </w:style>
  <w:style w:type="character" w:styleId="Hyperlink">
    <w:name w:val="Hyperlink"/>
    <w:basedOn w:val="DefaultParagraphFont"/>
    <w:uiPriority w:val="99"/>
    <w:unhideWhenUsed/>
    <w:rsid w:val="005960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E8F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E8F"/>
    <w:rPr>
      <w:rFonts w:ascii="Times New Roman" w:eastAsia="Calibri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D5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yerAVW-js&amp;t=1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epius.si/wp-content/uploads/2015/06/A-Learning-Outcomes-Book-D-Kennedy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M3xwvDvuLo&amp;t=98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epius.si/wp-content/uploads/2014/02/Internacionalizacija-kurikuluma_NET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Aškerc</dc:creator>
  <cp:keywords/>
  <dc:description/>
  <cp:lastModifiedBy>Katarina Aškerc Veniger</cp:lastModifiedBy>
  <cp:revision>1</cp:revision>
  <dcterms:created xsi:type="dcterms:W3CDTF">2018-06-04T13:04:00Z</dcterms:created>
  <dcterms:modified xsi:type="dcterms:W3CDTF">2018-06-12T11:32:00Z</dcterms:modified>
</cp:coreProperties>
</file>